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65B967">
      <w:pPr>
        <w:keepNext w:val="0"/>
        <w:keepLines w:val="0"/>
        <w:pageBreakBefore w:val="0"/>
        <w:widowControl w:val="0"/>
        <w:kinsoku/>
        <w:wordWrap/>
        <w:overflowPunct/>
        <w:topLinePunct w:val="0"/>
        <w:autoSpaceDE/>
        <w:autoSpaceDN/>
        <w:bidi w:val="0"/>
        <w:adjustRightInd w:val="0"/>
        <w:snapToGrid w:val="0"/>
        <w:spacing w:line="560" w:lineRule="exact"/>
        <w:ind w:left="-84" w:leftChars="-40" w:right="-84" w:rightChars="-40"/>
        <w:jc w:val="center"/>
        <w:textAlignment w:val="auto"/>
        <w:rPr>
          <w:rFonts w:hint="default" w:ascii="Times New Roman" w:hAnsi="Times New Roman" w:eastAsia="方正小标宋简体" w:cs="Times New Roman"/>
          <w:spacing w:val="-11"/>
          <w:sz w:val="44"/>
          <w:szCs w:val="44"/>
        </w:rPr>
      </w:pPr>
      <w:r>
        <w:rPr>
          <w:rFonts w:hint="eastAsia" w:eastAsia="方正小标宋简体" w:cs="Times New Roman"/>
          <w:spacing w:val="-11"/>
          <w:sz w:val="44"/>
          <w:szCs w:val="44"/>
          <w:lang w:eastAsia="zh-CN"/>
        </w:rPr>
        <w:t>《</w:t>
      </w:r>
      <w:r>
        <w:rPr>
          <w:rFonts w:hint="default" w:ascii="Times New Roman" w:hAnsi="Times New Roman" w:eastAsia="方正小标宋简体" w:cs="Times New Roman"/>
          <w:spacing w:val="-11"/>
          <w:sz w:val="44"/>
          <w:szCs w:val="44"/>
        </w:rPr>
        <w:t>促进吴中区商务经济高质量发展的</w:t>
      </w:r>
    </w:p>
    <w:p w14:paraId="5CD17CAD">
      <w:pPr>
        <w:jc w:val="center"/>
        <w:rPr>
          <w:rFonts w:hint="eastAsia" w:eastAsia="方正小标宋简体" w:cs="Times New Roman"/>
          <w:color w:val="000000"/>
          <w:spacing w:val="-11"/>
          <w:sz w:val="44"/>
          <w:szCs w:val="44"/>
          <w:u w:val="none"/>
          <w:lang w:eastAsia="zh-CN"/>
        </w:rPr>
      </w:pPr>
      <w:r>
        <w:rPr>
          <w:rFonts w:hint="default" w:ascii="Times New Roman" w:hAnsi="Times New Roman" w:eastAsia="方正小标宋简体" w:cs="Times New Roman"/>
          <w:spacing w:val="-11"/>
          <w:sz w:val="44"/>
          <w:szCs w:val="44"/>
        </w:rPr>
        <w:t>若干政策措施</w:t>
      </w:r>
      <w:r>
        <w:rPr>
          <w:rFonts w:hint="default" w:ascii="Times New Roman" w:hAnsi="Times New Roman" w:eastAsia="方正小标宋简体" w:cs="Times New Roman"/>
          <w:color w:val="000000"/>
          <w:spacing w:val="-11"/>
          <w:sz w:val="44"/>
          <w:szCs w:val="44"/>
          <w:u w:val="none"/>
        </w:rPr>
        <w:t>》</w:t>
      </w:r>
      <w:r>
        <w:rPr>
          <w:rFonts w:hint="eastAsia" w:eastAsia="方正小标宋简体" w:cs="Times New Roman"/>
          <w:color w:val="000000"/>
          <w:spacing w:val="-11"/>
          <w:sz w:val="44"/>
          <w:szCs w:val="44"/>
          <w:u w:val="none"/>
          <w:lang w:eastAsia="zh-CN"/>
        </w:rPr>
        <w:t>政策解读</w:t>
      </w:r>
    </w:p>
    <w:p w14:paraId="3114E7B7">
      <w:pPr>
        <w:jc w:val="center"/>
        <w:rPr>
          <w:rFonts w:hint="eastAsia" w:eastAsia="方正小标宋简体" w:cs="Times New Roman"/>
          <w:color w:val="000000"/>
          <w:spacing w:val="-11"/>
          <w:sz w:val="44"/>
          <w:szCs w:val="44"/>
          <w:u w:val="none"/>
          <w:lang w:eastAsia="zh-CN"/>
        </w:rPr>
      </w:pPr>
    </w:p>
    <w:p w14:paraId="04047C93">
      <w:pPr>
        <w:keepNext w:val="0"/>
        <w:keepLines w:val="0"/>
        <w:pageBreakBefore w:val="0"/>
        <w:widowControl w:val="0"/>
        <w:kinsoku/>
        <w:wordWrap/>
        <w:overflowPunct/>
        <w:topLinePunct w:val="0"/>
        <w:autoSpaceDE/>
        <w:autoSpaceDN/>
        <w:bidi w:val="0"/>
        <w:spacing w:line="560" w:lineRule="exact"/>
        <w:ind w:firstLine="596" w:firstLineChars="200"/>
        <w:textAlignment w:val="auto"/>
        <w:rPr>
          <w:rFonts w:hint="default" w:ascii="Times New Roman" w:hAnsi="Times New Roman" w:eastAsia="黑体" w:cs="Times New Roman"/>
          <w:color w:val="000000"/>
          <w:spacing w:val="-11"/>
          <w:sz w:val="32"/>
          <w:szCs w:val="32"/>
          <w:highlight w:val="none"/>
          <w:u w:val="none"/>
        </w:rPr>
      </w:pPr>
      <w:r>
        <w:rPr>
          <w:rFonts w:hint="default" w:ascii="Times New Roman" w:hAnsi="Times New Roman" w:eastAsia="黑体" w:cs="Times New Roman"/>
          <w:color w:val="000000"/>
          <w:spacing w:val="-11"/>
          <w:sz w:val="32"/>
          <w:szCs w:val="32"/>
          <w:highlight w:val="none"/>
          <w:u w:val="none"/>
        </w:rPr>
        <w:t>一、</w:t>
      </w:r>
      <w:r>
        <w:rPr>
          <w:rFonts w:hint="eastAsia" w:ascii="Times New Roman" w:hAnsi="Times New Roman" w:eastAsia="黑体" w:cs="Times New Roman"/>
          <w:color w:val="000000"/>
          <w:spacing w:val="-11"/>
          <w:sz w:val="32"/>
          <w:szCs w:val="32"/>
          <w:highlight w:val="none"/>
          <w:u w:val="none"/>
          <w:lang w:eastAsia="zh-CN"/>
        </w:rPr>
        <w:t>背景</w:t>
      </w:r>
    </w:p>
    <w:p w14:paraId="585577C2">
      <w:pPr>
        <w:keepNext w:val="0"/>
        <w:keepLines w:val="0"/>
        <w:pageBreakBefore w:val="0"/>
        <w:widowControl w:val="0"/>
        <w:kinsoku/>
        <w:wordWrap/>
        <w:overflowPunct/>
        <w:topLinePunct w:val="0"/>
        <w:autoSpaceDE/>
        <w:autoSpaceDN/>
        <w:bidi w:val="0"/>
        <w:spacing w:line="560" w:lineRule="exact"/>
        <w:ind w:firstLine="596" w:firstLineChars="200"/>
        <w:textAlignment w:val="auto"/>
        <w:rPr>
          <w:rFonts w:hint="default" w:ascii="Times New Roman" w:hAnsi="Times New Roman" w:eastAsia="仿宋_GB2312" w:cs="Times New Roman"/>
          <w:color w:val="000000"/>
          <w:spacing w:val="-11"/>
          <w:sz w:val="32"/>
          <w:szCs w:val="32"/>
          <w:highlight w:val="none"/>
          <w:u w:val="none"/>
        </w:rPr>
      </w:pPr>
      <w:r>
        <w:rPr>
          <w:rFonts w:hint="default" w:ascii="Times New Roman" w:hAnsi="Times New Roman" w:eastAsia="仿宋_GB2312" w:cs="Times New Roman"/>
          <w:spacing w:val="-11"/>
          <w:sz w:val="32"/>
          <w:szCs w:val="32"/>
          <w:highlight w:val="none"/>
        </w:rPr>
        <w:t>2021</w:t>
      </w:r>
      <w:r>
        <w:rPr>
          <w:rFonts w:hint="default" w:ascii="Times New Roman" w:hAnsi="Times New Roman" w:eastAsia="仿宋_GB2312" w:cs="Times New Roman"/>
          <w:spacing w:val="-11"/>
          <w:sz w:val="32"/>
          <w:szCs w:val="32"/>
          <w:highlight w:val="none"/>
          <w:lang w:eastAsia="zh-CN"/>
        </w:rPr>
        <w:t>年</w:t>
      </w:r>
      <w:r>
        <w:rPr>
          <w:rFonts w:hint="default" w:ascii="Times New Roman" w:hAnsi="Times New Roman" w:eastAsia="仿宋_GB2312" w:cs="Times New Roman"/>
          <w:spacing w:val="-11"/>
          <w:sz w:val="32"/>
          <w:szCs w:val="32"/>
          <w:highlight w:val="none"/>
        </w:rPr>
        <w:t>我局制定了《关于促进吴中区商务经济高质量发展若干政策措施意见》（吴政发〔2021〕79号</w:t>
      </w:r>
      <w:r>
        <w:rPr>
          <w:rFonts w:hint="default" w:ascii="Times New Roman" w:hAnsi="Times New Roman" w:eastAsia="仿宋_GB2312" w:cs="Times New Roman"/>
          <w:spacing w:val="-11"/>
          <w:sz w:val="32"/>
          <w:szCs w:val="32"/>
          <w:highlight w:val="none"/>
          <w:lang w:eastAsia="zh-CN"/>
        </w:rPr>
        <w:t>，以下简称《意见》</w:t>
      </w:r>
      <w:r>
        <w:rPr>
          <w:rFonts w:hint="default" w:ascii="Times New Roman" w:hAnsi="Times New Roman" w:eastAsia="仿宋_GB2312" w:cs="Times New Roman"/>
          <w:spacing w:val="-11"/>
          <w:sz w:val="32"/>
          <w:szCs w:val="32"/>
          <w:highlight w:val="none"/>
        </w:rPr>
        <w:t>）</w:t>
      </w:r>
      <w:r>
        <w:rPr>
          <w:rFonts w:hint="default" w:ascii="Times New Roman" w:hAnsi="Times New Roman" w:eastAsia="仿宋_GB2312" w:cs="Times New Roman"/>
          <w:spacing w:val="-11"/>
          <w:sz w:val="32"/>
          <w:szCs w:val="32"/>
          <w:highlight w:val="none"/>
          <w:lang w:eastAsia="zh-CN"/>
        </w:rPr>
        <w:t>，自</w:t>
      </w:r>
      <w:r>
        <w:rPr>
          <w:rFonts w:hint="default" w:ascii="Times New Roman" w:hAnsi="Times New Roman" w:eastAsia="仿宋_GB2312" w:cs="Times New Roman"/>
          <w:spacing w:val="-11"/>
          <w:sz w:val="32"/>
          <w:szCs w:val="32"/>
          <w:highlight w:val="none"/>
        </w:rPr>
        <w:t>实施以来，全区外贸总量</w:t>
      </w:r>
      <w:bookmarkStart w:id="0" w:name="OLE_LINK1"/>
      <w:r>
        <w:rPr>
          <w:rFonts w:hint="default" w:ascii="Times New Roman" w:hAnsi="Times New Roman" w:eastAsia="仿宋_GB2312" w:cs="Times New Roman"/>
          <w:spacing w:val="-11"/>
          <w:sz w:val="32"/>
          <w:szCs w:val="32"/>
          <w:highlight w:val="none"/>
          <w:lang w:eastAsia="zh-CN"/>
        </w:rPr>
        <w:t>连年增长</w:t>
      </w:r>
      <w:bookmarkEnd w:id="0"/>
      <w:r>
        <w:rPr>
          <w:rFonts w:hint="eastAsia" w:eastAsia="仿宋_GB2312" w:cs="Times New Roman"/>
          <w:spacing w:val="-11"/>
          <w:sz w:val="32"/>
          <w:szCs w:val="32"/>
          <w:highlight w:val="none"/>
          <w:lang w:eastAsia="zh-CN"/>
        </w:rPr>
        <w:t>，</w:t>
      </w:r>
      <w:r>
        <w:rPr>
          <w:rFonts w:hint="default" w:ascii="Times New Roman" w:hAnsi="Times New Roman" w:eastAsia="仿宋_GB2312" w:cs="Times New Roman"/>
          <w:spacing w:val="-11"/>
          <w:sz w:val="32"/>
          <w:szCs w:val="32"/>
          <w:highlight w:val="none"/>
        </w:rPr>
        <w:t>外资总部经济</w:t>
      </w:r>
      <w:r>
        <w:rPr>
          <w:rFonts w:hint="default" w:ascii="Times New Roman" w:hAnsi="Times New Roman" w:eastAsia="仿宋_GB2312" w:cs="Times New Roman"/>
          <w:spacing w:val="-11"/>
          <w:sz w:val="32"/>
          <w:szCs w:val="32"/>
          <w:highlight w:val="none"/>
          <w:lang w:eastAsia="zh-CN"/>
        </w:rPr>
        <w:t>不断</w:t>
      </w:r>
      <w:r>
        <w:rPr>
          <w:rFonts w:hint="default" w:ascii="Times New Roman" w:hAnsi="Times New Roman" w:eastAsia="仿宋_GB2312" w:cs="Times New Roman"/>
          <w:spacing w:val="-11"/>
          <w:sz w:val="32"/>
          <w:szCs w:val="32"/>
          <w:highlight w:val="none"/>
        </w:rPr>
        <w:t>壮大，消费持续提振扩容</w:t>
      </w:r>
      <w:r>
        <w:rPr>
          <w:rFonts w:hint="default" w:ascii="Times New Roman" w:hAnsi="Times New Roman" w:eastAsia="仿宋_GB2312" w:cs="Times New Roman"/>
          <w:spacing w:val="-11"/>
          <w:sz w:val="32"/>
          <w:szCs w:val="32"/>
          <w:highlight w:val="none"/>
          <w:lang w:eastAsia="zh-CN"/>
        </w:rPr>
        <w:t>，</w:t>
      </w:r>
      <w:r>
        <w:rPr>
          <w:rFonts w:hint="default" w:ascii="Times New Roman" w:hAnsi="Times New Roman" w:eastAsia="仿宋_GB2312" w:cs="Times New Roman"/>
          <w:spacing w:val="-11"/>
          <w:sz w:val="32"/>
          <w:szCs w:val="32"/>
          <w:highlight w:val="none"/>
        </w:rPr>
        <w:t>电商持续做大做强</w:t>
      </w:r>
      <w:r>
        <w:rPr>
          <w:rFonts w:hint="default" w:ascii="Times New Roman" w:hAnsi="Times New Roman" w:eastAsia="仿宋_GB2312" w:cs="Times New Roman"/>
          <w:color w:val="auto"/>
          <w:spacing w:val="-11"/>
          <w:sz w:val="32"/>
          <w:szCs w:val="32"/>
          <w:highlight w:val="none"/>
          <w:lang w:eastAsia="zh-CN"/>
        </w:rPr>
        <w:t>。</w:t>
      </w:r>
      <w:r>
        <w:rPr>
          <w:rFonts w:hint="default" w:ascii="Times New Roman" w:hAnsi="Times New Roman" w:eastAsia="仿宋_GB2312" w:cs="Times New Roman"/>
          <w:spacing w:val="-11"/>
          <w:sz w:val="32"/>
          <w:szCs w:val="32"/>
          <w:highlight w:val="none"/>
          <w:lang w:eastAsia="zh-CN"/>
        </w:rPr>
        <w:t>该《意见》</w:t>
      </w:r>
      <w:r>
        <w:rPr>
          <w:rFonts w:hint="default" w:ascii="Times New Roman" w:hAnsi="Times New Roman" w:eastAsia="仿宋_GB2312" w:cs="Times New Roman"/>
          <w:spacing w:val="-11"/>
          <w:sz w:val="32"/>
          <w:szCs w:val="32"/>
          <w:highlight w:val="none"/>
        </w:rPr>
        <w:t>于2023年12月31日到期</w:t>
      </w:r>
      <w:r>
        <w:rPr>
          <w:rFonts w:hint="default" w:ascii="Times New Roman" w:hAnsi="Times New Roman" w:eastAsia="仿宋_GB2312" w:cs="Times New Roman"/>
          <w:spacing w:val="-11"/>
          <w:sz w:val="32"/>
          <w:szCs w:val="32"/>
          <w:highlight w:val="none"/>
          <w:lang w:eastAsia="zh-CN"/>
        </w:rPr>
        <w:t>，为适应</w:t>
      </w:r>
      <w:r>
        <w:rPr>
          <w:rFonts w:hint="eastAsia" w:ascii="Times New Roman" w:hAnsi="Times New Roman" w:eastAsia="仿宋_GB2312" w:cs="Times New Roman"/>
          <w:spacing w:val="-11"/>
          <w:sz w:val="32"/>
          <w:szCs w:val="32"/>
          <w:highlight w:val="none"/>
          <w:lang w:eastAsia="zh-CN"/>
        </w:rPr>
        <w:t>商务经济</w:t>
      </w:r>
      <w:r>
        <w:rPr>
          <w:rFonts w:hint="default" w:ascii="Times New Roman" w:hAnsi="Times New Roman" w:eastAsia="仿宋_GB2312" w:cs="Times New Roman"/>
          <w:spacing w:val="-11"/>
          <w:sz w:val="32"/>
          <w:szCs w:val="32"/>
          <w:highlight w:val="none"/>
          <w:lang w:eastAsia="zh-CN"/>
        </w:rPr>
        <w:t>发展新形势、新要求，我局</w:t>
      </w:r>
      <w:r>
        <w:rPr>
          <w:rFonts w:hint="default" w:ascii="Times New Roman" w:hAnsi="Times New Roman" w:eastAsia="仿宋_GB2312" w:cs="Times New Roman"/>
          <w:spacing w:val="-11"/>
          <w:sz w:val="32"/>
          <w:szCs w:val="32"/>
          <w:highlight w:val="none"/>
        </w:rPr>
        <w:t>启动</w:t>
      </w:r>
      <w:r>
        <w:rPr>
          <w:rFonts w:hint="default" w:ascii="Times New Roman" w:hAnsi="Times New Roman" w:eastAsia="仿宋_GB2312" w:cs="Times New Roman"/>
          <w:spacing w:val="-11"/>
          <w:sz w:val="32"/>
          <w:szCs w:val="32"/>
          <w:highlight w:val="none"/>
          <w:lang w:eastAsia="zh-CN"/>
        </w:rPr>
        <w:t>了新一轮系统性修订工作。</w:t>
      </w:r>
    </w:p>
    <w:p w14:paraId="24C71F87">
      <w:pPr>
        <w:keepNext w:val="0"/>
        <w:keepLines w:val="0"/>
        <w:pageBreakBefore w:val="0"/>
        <w:widowControl w:val="0"/>
        <w:numPr>
          <w:ilvl w:val="0"/>
          <w:numId w:val="0"/>
        </w:numPr>
        <w:kinsoku/>
        <w:wordWrap/>
        <w:overflowPunct/>
        <w:topLinePunct w:val="0"/>
        <w:autoSpaceDE/>
        <w:autoSpaceDN/>
        <w:bidi w:val="0"/>
        <w:spacing w:line="560" w:lineRule="exact"/>
        <w:ind w:firstLine="596" w:firstLineChars="200"/>
        <w:textAlignment w:val="auto"/>
        <w:rPr>
          <w:rFonts w:hint="default" w:ascii="Times New Roman" w:hAnsi="Times New Roman" w:eastAsia="黑体" w:cs="Times New Roman"/>
          <w:color w:val="000000"/>
          <w:spacing w:val="-11"/>
          <w:sz w:val="32"/>
          <w:szCs w:val="32"/>
          <w:highlight w:val="none"/>
          <w:u w:val="none"/>
          <w:lang w:eastAsia="zh-CN"/>
        </w:rPr>
      </w:pPr>
      <w:r>
        <w:rPr>
          <w:rFonts w:hint="eastAsia" w:ascii="Times New Roman" w:hAnsi="Times New Roman" w:eastAsia="黑体" w:cs="Times New Roman"/>
          <w:color w:val="000000"/>
          <w:spacing w:val="-11"/>
          <w:kern w:val="2"/>
          <w:sz w:val="32"/>
          <w:szCs w:val="32"/>
          <w:lang w:val="en-US" w:eastAsia="zh-CN" w:bidi="ar-SA"/>
        </w:rPr>
        <w:t>二、</w:t>
      </w:r>
      <w:r>
        <w:rPr>
          <w:rFonts w:hint="eastAsia" w:eastAsia="黑体" w:cs="Times New Roman"/>
          <w:color w:val="000000"/>
          <w:spacing w:val="-11"/>
          <w:sz w:val="32"/>
          <w:szCs w:val="32"/>
          <w:highlight w:val="none"/>
          <w:u w:val="none"/>
          <w:lang w:eastAsia="zh-CN"/>
        </w:rPr>
        <w:t>制定《措施》的必要性</w:t>
      </w:r>
    </w:p>
    <w:p w14:paraId="0D7F02E1">
      <w:pPr>
        <w:keepNext w:val="0"/>
        <w:keepLines w:val="0"/>
        <w:pageBreakBefore w:val="0"/>
        <w:widowControl w:val="0"/>
        <w:kinsoku/>
        <w:wordWrap/>
        <w:overflowPunct/>
        <w:topLinePunct w:val="0"/>
        <w:autoSpaceDE/>
        <w:autoSpaceDN/>
        <w:bidi w:val="0"/>
        <w:spacing w:line="560" w:lineRule="exact"/>
        <w:ind w:firstLine="596" w:firstLineChars="200"/>
        <w:textAlignment w:val="auto"/>
        <w:rPr>
          <w:rFonts w:hint="eastAsia" w:ascii="Times New Roman" w:hAnsi="Times New Roman" w:eastAsia="仿宋_GB2312" w:cs="Times New Roman"/>
          <w:spacing w:val="-11"/>
          <w:sz w:val="32"/>
          <w:szCs w:val="32"/>
          <w:highlight w:val="none"/>
          <w:lang w:val="en-US" w:eastAsia="zh-CN"/>
        </w:rPr>
      </w:pPr>
      <w:r>
        <w:rPr>
          <w:rFonts w:hint="default" w:ascii="Times New Roman" w:hAnsi="Times New Roman" w:eastAsia="仿宋_GB2312" w:cs="Times New Roman"/>
          <w:spacing w:val="-11"/>
          <w:sz w:val="32"/>
          <w:szCs w:val="32"/>
          <w:highlight w:val="none"/>
        </w:rPr>
        <w:t>当前，全球经贸环境复杂多变，区域竞争日趋激烈，吴中区商务经济发展面临新挑战与新机遇。</w:t>
      </w:r>
      <w:r>
        <w:rPr>
          <w:rFonts w:hint="eastAsia" w:ascii="Times New Roman" w:hAnsi="Times New Roman" w:eastAsia="仿宋_GB2312" w:cs="Times New Roman"/>
          <w:spacing w:val="-11"/>
          <w:sz w:val="32"/>
          <w:szCs w:val="32"/>
          <w:highlight w:val="none"/>
          <w:lang w:eastAsia="zh-CN"/>
        </w:rPr>
        <w:t>为</w:t>
      </w:r>
      <w:r>
        <w:rPr>
          <w:rFonts w:hint="default" w:ascii="Times New Roman" w:hAnsi="Times New Roman" w:eastAsia="仿宋_GB2312" w:cs="Times New Roman"/>
          <w:spacing w:val="-11"/>
          <w:sz w:val="32"/>
          <w:szCs w:val="32"/>
          <w:highlight w:val="none"/>
        </w:rPr>
        <w:t>适应高水平开放和高质量发展要求</w:t>
      </w:r>
      <w:r>
        <w:rPr>
          <w:rFonts w:hint="eastAsia" w:ascii="Times New Roman" w:hAnsi="Times New Roman" w:eastAsia="仿宋_GB2312" w:cs="Times New Roman"/>
          <w:spacing w:val="-11"/>
          <w:sz w:val="32"/>
          <w:szCs w:val="32"/>
          <w:highlight w:val="none"/>
          <w:lang w:eastAsia="zh-CN"/>
        </w:rPr>
        <w:t>，</w:t>
      </w:r>
      <w:r>
        <w:rPr>
          <w:rFonts w:hint="default" w:ascii="Times New Roman" w:hAnsi="Times New Roman" w:eastAsia="仿宋_GB2312" w:cs="Times New Roman"/>
          <w:spacing w:val="-11"/>
          <w:sz w:val="32"/>
          <w:szCs w:val="32"/>
          <w:highlight w:val="none"/>
        </w:rPr>
        <w:t>制定《措施》是应对国际经贸规则重构、稳</w:t>
      </w:r>
      <w:r>
        <w:rPr>
          <w:rFonts w:hint="eastAsia" w:ascii="Times New Roman" w:hAnsi="Times New Roman" w:eastAsia="仿宋_GB2312" w:cs="Times New Roman"/>
          <w:spacing w:val="-11"/>
          <w:sz w:val="32"/>
          <w:szCs w:val="32"/>
          <w:highlight w:val="none"/>
          <w:lang w:eastAsia="zh-CN"/>
        </w:rPr>
        <w:t>外贸稳外资促消费</w:t>
      </w:r>
      <w:r>
        <w:rPr>
          <w:rFonts w:hint="default" w:ascii="Times New Roman" w:hAnsi="Times New Roman" w:eastAsia="仿宋_GB2312" w:cs="Times New Roman"/>
          <w:spacing w:val="-11"/>
          <w:sz w:val="32"/>
          <w:szCs w:val="32"/>
          <w:highlight w:val="none"/>
        </w:rPr>
        <w:t>的迫切需要，也是服务构建新发展格局、培育本土竞争新优势的内在要求。通过强化外贸韧性、激发外资活力、推动消费升级、促进业态创新，《措施》将为企业提供更精准有效的支持，助力吴中区在开放型经济和商贸流通领域实现更高质量、更可持续的发展。</w:t>
      </w:r>
    </w:p>
    <w:p w14:paraId="3A5BE228">
      <w:pPr>
        <w:keepNext w:val="0"/>
        <w:keepLines w:val="0"/>
        <w:pageBreakBefore w:val="0"/>
        <w:widowControl w:val="0"/>
        <w:numPr>
          <w:ilvl w:val="0"/>
          <w:numId w:val="0"/>
        </w:numPr>
        <w:kinsoku/>
        <w:wordWrap/>
        <w:overflowPunct/>
        <w:topLinePunct w:val="0"/>
        <w:autoSpaceDE/>
        <w:autoSpaceDN/>
        <w:bidi w:val="0"/>
        <w:spacing w:line="560" w:lineRule="exact"/>
        <w:ind w:firstLine="596" w:firstLineChars="200"/>
        <w:textAlignment w:val="auto"/>
        <w:rPr>
          <w:rFonts w:hint="default" w:ascii="Times New Roman" w:hAnsi="Times New Roman" w:eastAsia="黑体" w:cs="Times New Roman"/>
          <w:color w:val="000000"/>
          <w:spacing w:val="-11"/>
          <w:sz w:val="32"/>
          <w:szCs w:val="32"/>
          <w:highlight w:val="none"/>
          <w:u w:val="none"/>
          <w:lang w:eastAsia="zh-CN"/>
        </w:rPr>
      </w:pPr>
      <w:r>
        <w:rPr>
          <w:rFonts w:hint="eastAsia" w:ascii="Times New Roman" w:hAnsi="Times New Roman" w:eastAsia="黑体" w:cs="Times New Roman"/>
          <w:color w:val="000000"/>
          <w:spacing w:val="-11"/>
          <w:kern w:val="2"/>
          <w:sz w:val="32"/>
          <w:szCs w:val="32"/>
          <w:lang w:val="en-US" w:eastAsia="zh-CN" w:bidi="ar-SA"/>
        </w:rPr>
        <w:t>三、</w:t>
      </w:r>
      <w:r>
        <w:rPr>
          <w:rFonts w:hint="eastAsia" w:eastAsia="黑体" w:cs="Times New Roman"/>
          <w:color w:val="000000"/>
          <w:spacing w:val="-11"/>
          <w:sz w:val="32"/>
          <w:szCs w:val="32"/>
          <w:highlight w:val="none"/>
          <w:u w:val="none"/>
          <w:lang w:eastAsia="zh-CN"/>
        </w:rPr>
        <w:t>制定《措施》的可行性</w:t>
      </w:r>
    </w:p>
    <w:p w14:paraId="0064972C">
      <w:pPr>
        <w:keepNext w:val="0"/>
        <w:keepLines w:val="0"/>
        <w:pageBreakBefore w:val="0"/>
        <w:widowControl w:val="0"/>
        <w:kinsoku/>
        <w:wordWrap/>
        <w:overflowPunct/>
        <w:topLinePunct w:val="0"/>
        <w:autoSpaceDE/>
        <w:autoSpaceDN/>
        <w:bidi w:val="0"/>
        <w:spacing w:line="560" w:lineRule="exact"/>
        <w:ind w:firstLine="596" w:firstLineChars="200"/>
        <w:textAlignment w:val="auto"/>
        <w:rPr>
          <w:rFonts w:hint="eastAsia" w:ascii="Times New Roman" w:hAnsi="Times New Roman" w:eastAsia="仿宋_GB2312" w:cs="Times New Roman"/>
          <w:spacing w:val="-11"/>
          <w:sz w:val="32"/>
          <w:szCs w:val="32"/>
          <w:highlight w:val="none"/>
          <w:lang w:val="en-US" w:eastAsia="zh-CN"/>
        </w:rPr>
      </w:pPr>
      <w:r>
        <w:rPr>
          <w:rFonts w:hint="default" w:ascii="Times New Roman" w:hAnsi="Times New Roman" w:eastAsia="仿宋_GB2312" w:cs="Times New Roman"/>
          <w:spacing w:val="-11"/>
          <w:sz w:val="32"/>
          <w:szCs w:val="32"/>
          <w:highlight w:val="none"/>
          <w:lang w:val="en-US" w:eastAsia="zh-CN"/>
        </w:rPr>
        <w:t>当前，吴中区正处于加快产业升级、优化营商环境、提升区域竞争力的关键阶段，</w:t>
      </w:r>
      <w:r>
        <w:rPr>
          <w:rFonts w:hint="eastAsia" w:ascii="Times New Roman" w:hAnsi="Times New Roman" w:eastAsia="仿宋_GB2312" w:cs="Times New Roman"/>
          <w:spacing w:val="-11"/>
          <w:sz w:val="32"/>
          <w:szCs w:val="32"/>
          <w:highlight w:val="none"/>
          <w:lang w:val="en-US" w:eastAsia="zh-CN"/>
        </w:rPr>
        <w:t>《措施》</w:t>
      </w:r>
      <w:r>
        <w:rPr>
          <w:rFonts w:hint="default" w:ascii="Times New Roman" w:hAnsi="Times New Roman" w:eastAsia="仿宋_GB2312" w:cs="Times New Roman"/>
          <w:spacing w:val="-11"/>
          <w:sz w:val="32"/>
          <w:szCs w:val="32"/>
          <w:highlight w:val="none"/>
          <w:lang w:val="en-US" w:eastAsia="zh-CN"/>
        </w:rPr>
        <w:t>契合了</w:t>
      </w:r>
      <w:r>
        <w:rPr>
          <w:rFonts w:hint="eastAsia" w:ascii="Times New Roman" w:hAnsi="Times New Roman" w:eastAsia="仿宋_GB2312" w:cs="Times New Roman"/>
          <w:spacing w:val="-11"/>
          <w:sz w:val="32"/>
          <w:szCs w:val="32"/>
          <w:highlight w:val="none"/>
          <w:lang w:val="en-US" w:eastAsia="zh-CN"/>
        </w:rPr>
        <w:t>吴中区</w:t>
      </w:r>
      <w:r>
        <w:rPr>
          <w:rFonts w:hint="default" w:ascii="Times New Roman" w:hAnsi="Times New Roman" w:eastAsia="仿宋_GB2312" w:cs="Times New Roman"/>
          <w:spacing w:val="-11"/>
          <w:sz w:val="32"/>
          <w:szCs w:val="32"/>
          <w:highlight w:val="none"/>
          <w:lang w:val="en-US" w:eastAsia="zh-CN"/>
        </w:rPr>
        <w:t>发展需求，能够有效引导企业转型升级，激发市场活力。例如，对外贸企业、服务贸易企业、</w:t>
      </w:r>
      <w:r>
        <w:rPr>
          <w:rFonts w:hint="eastAsia" w:ascii="Times New Roman" w:hAnsi="Times New Roman" w:eastAsia="仿宋_GB2312" w:cs="Times New Roman"/>
          <w:spacing w:val="-11"/>
          <w:sz w:val="32"/>
          <w:szCs w:val="32"/>
          <w:highlight w:val="none"/>
          <w:lang w:val="en-US" w:eastAsia="zh-CN"/>
        </w:rPr>
        <w:t>招商中介、外资企业</w:t>
      </w:r>
      <w:r>
        <w:rPr>
          <w:rFonts w:hint="default" w:ascii="Times New Roman" w:hAnsi="Times New Roman" w:eastAsia="仿宋_GB2312" w:cs="Times New Roman"/>
          <w:spacing w:val="-11"/>
          <w:sz w:val="32"/>
          <w:szCs w:val="32"/>
          <w:highlight w:val="none"/>
          <w:lang w:val="en-US" w:eastAsia="zh-CN"/>
        </w:rPr>
        <w:t>以及商贸流通企业的奖励和支持措施，均设定了明确的标准和上限，确保政策执行过程中的可</w:t>
      </w:r>
      <w:r>
        <w:rPr>
          <w:rFonts w:hint="eastAsia" w:ascii="Times New Roman" w:hAnsi="Times New Roman" w:eastAsia="仿宋_GB2312" w:cs="Times New Roman"/>
          <w:spacing w:val="-11"/>
          <w:sz w:val="32"/>
          <w:szCs w:val="32"/>
          <w:highlight w:val="none"/>
          <w:lang w:val="en-US" w:eastAsia="zh-CN"/>
        </w:rPr>
        <w:t>行</w:t>
      </w:r>
      <w:r>
        <w:rPr>
          <w:rFonts w:hint="default" w:ascii="Times New Roman" w:hAnsi="Times New Roman" w:eastAsia="仿宋_GB2312" w:cs="Times New Roman"/>
          <w:spacing w:val="-11"/>
          <w:sz w:val="32"/>
          <w:szCs w:val="32"/>
          <w:highlight w:val="none"/>
          <w:lang w:val="en-US" w:eastAsia="zh-CN"/>
        </w:rPr>
        <w:t>性和可持续性。</w:t>
      </w:r>
      <w:r>
        <w:rPr>
          <w:rFonts w:hint="eastAsia" w:ascii="Times New Roman" w:hAnsi="Times New Roman" w:eastAsia="仿宋_GB2312" w:cs="Times New Roman"/>
          <w:spacing w:val="-11"/>
          <w:sz w:val="32"/>
          <w:szCs w:val="32"/>
          <w:highlight w:val="none"/>
          <w:lang w:val="en-US" w:eastAsia="zh-CN"/>
        </w:rPr>
        <w:t>同时，</w:t>
      </w:r>
      <w:r>
        <w:rPr>
          <w:rFonts w:hint="default" w:ascii="Times New Roman" w:hAnsi="Times New Roman" w:eastAsia="仿宋_GB2312" w:cs="Times New Roman"/>
          <w:spacing w:val="-11"/>
          <w:sz w:val="32"/>
          <w:szCs w:val="32"/>
          <w:highlight w:val="none"/>
          <w:lang w:val="en-US" w:eastAsia="zh-CN"/>
        </w:rPr>
        <w:t>通过前期广泛的意见征询和调研工作，政策措施得到了区内重点企业、行业协会及相关</w:t>
      </w:r>
      <w:r>
        <w:rPr>
          <w:rFonts w:hint="eastAsia" w:ascii="Times New Roman" w:hAnsi="Times New Roman" w:eastAsia="仿宋_GB2312" w:cs="Times New Roman"/>
          <w:spacing w:val="-11"/>
          <w:sz w:val="32"/>
          <w:szCs w:val="32"/>
          <w:highlight w:val="none"/>
          <w:lang w:val="en-US" w:eastAsia="zh-CN"/>
        </w:rPr>
        <w:t>部门</w:t>
      </w:r>
      <w:r>
        <w:rPr>
          <w:rFonts w:hint="default" w:ascii="Times New Roman" w:hAnsi="Times New Roman" w:eastAsia="仿宋_GB2312" w:cs="Times New Roman"/>
          <w:spacing w:val="-11"/>
          <w:sz w:val="32"/>
          <w:szCs w:val="32"/>
          <w:highlight w:val="none"/>
          <w:lang w:val="en-US" w:eastAsia="zh-CN"/>
        </w:rPr>
        <w:t>单位的支持，具备较好的群众认可度</w:t>
      </w:r>
      <w:r>
        <w:rPr>
          <w:rFonts w:hint="eastAsia" w:ascii="Times New Roman" w:hAnsi="Times New Roman" w:eastAsia="仿宋_GB2312" w:cs="Times New Roman"/>
          <w:spacing w:val="-11"/>
          <w:sz w:val="32"/>
          <w:szCs w:val="32"/>
          <w:highlight w:val="none"/>
          <w:lang w:val="en-US" w:eastAsia="zh-CN"/>
        </w:rPr>
        <w:t>，因此制定《措施》是可行的</w:t>
      </w:r>
      <w:r>
        <w:rPr>
          <w:rFonts w:hint="default" w:ascii="Times New Roman" w:hAnsi="Times New Roman" w:eastAsia="仿宋_GB2312" w:cs="Times New Roman"/>
          <w:spacing w:val="-11"/>
          <w:sz w:val="32"/>
          <w:szCs w:val="32"/>
          <w:highlight w:val="none"/>
          <w:lang w:val="en-US" w:eastAsia="zh-CN"/>
        </w:rPr>
        <w:t>。</w:t>
      </w:r>
    </w:p>
    <w:p w14:paraId="56394E10">
      <w:pPr>
        <w:keepNext w:val="0"/>
        <w:keepLines w:val="0"/>
        <w:pageBreakBefore w:val="0"/>
        <w:widowControl w:val="0"/>
        <w:numPr>
          <w:ilvl w:val="0"/>
          <w:numId w:val="0"/>
        </w:numPr>
        <w:kinsoku/>
        <w:wordWrap/>
        <w:overflowPunct/>
        <w:topLinePunct w:val="0"/>
        <w:autoSpaceDE/>
        <w:autoSpaceDN/>
        <w:bidi w:val="0"/>
        <w:spacing w:line="560" w:lineRule="exact"/>
        <w:ind w:firstLine="596" w:firstLineChars="200"/>
        <w:textAlignment w:val="auto"/>
        <w:rPr>
          <w:rFonts w:hint="eastAsia" w:ascii="Times New Roman" w:hAnsi="Times New Roman" w:eastAsia="黑体" w:cs="Times New Roman"/>
          <w:color w:val="000000"/>
          <w:spacing w:val="-11"/>
          <w:kern w:val="2"/>
          <w:sz w:val="32"/>
          <w:szCs w:val="32"/>
          <w:lang w:val="en-US" w:eastAsia="zh-CN" w:bidi="ar-SA"/>
        </w:rPr>
      </w:pPr>
      <w:r>
        <w:rPr>
          <w:rFonts w:hint="eastAsia" w:ascii="Times New Roman" w:hAnsi="Times New Roman" w:eastAsia="黑体" w:cs="Times New Roman"/>
          <w:color w:val="000000"/>
          <w:spacing w:val="-11"/>
          <w:kern w:val="2"/>
          <w:sz w:val="32"/>
          <w:szCs w:val="32"/>
          <w:lang w:val="en-US" w:eastAsia="zh-CN" w:bidi="ar-SA"/>
        </w:rPr>
        <w:t>四、《措施》的制定依据</w:t>
      </w:r>
    </w:p>
    <w:p w14:paraId="66A0E141">
      <w:pPr>
        <w:keepNext w:val="0"/>
        <w:keepLines w:val="0"/>
        <w:pageBreakBefore w:val="0"/>
        <w:widowControl w:val="0"/>
        <w:kinsoku/>
        <w:wordWrap/>
        <w:overflowPunct/>
        <w:topLinePunct w:val="0"/>
        <w:autoSpaceDE/>
        <w:autoSpaceDN/>
        <w:bidi w:val="0"/>
        <w:spacing w:line="560" w:lineRule="exact"/>
        <w:ind w:firstLine="596" w:firstLineChars="200"/>
        <w:textAlignment w:val="auto"/>
        <w:rPr>
          <w:rFonts w:hint="eastAsia" w:ascii="Times New Roman" w:hAnsi="Times New Roman" w:eastAsia="黑体" w:cs="Times New Roman"/>
          <w:color w:val="000000"/>
          <w:spacing w:val="-11"/>
          <w:kern w:val="2"/>
          <w:sz w:val="32"/>
          <w:szCs w:val="32"/>
          <w:lang w:val="en-US" w:eastAsia="zh-CN" w:bidi="ar-SA"/>
        </w:rPr>
      </w:pPr>
      <w:r>
        <w:rPr>
          <w:rFonts w:hint="eastAsia" w:ascii="Times New Roman" w:hAnsi="Times New Roman" w:eastAsia="仿宋_GB2312" w:cs="Times New Roman"/>
          <w:spacing w:val="-11"/>
          <w:sz w:val="32"/>
          <w:szCs w:val="32"/>
          <w:highlight w:val="none"/>
          <w:lang w:val="en-US" w:eastAsia="zh-CN"/>
        </w:rPr>
        <w:t>《措施》</w:t>
      </w:r>
      <w:r>
        <w:rPr>
          <w:rFonts w:hint="default" w:ascii="Times New Roman" w:hAnsi="Times New Roman" w:eastAsia="仿宋_GB2312" w:cs="Times New Roman"/>
          <w:spacing w:val="-11"/>
          <w:sz w:val="32"/>
          <w:szCs w:val="32"/>
          <w:highlight w:val="none"/>
          <w:lang w:val="en-US" w:eastAsia="zh-CN"/>
        </w:rPr>
        <w:t>主要依据《关于推动江苏开放型经济高质量发展若干政策措施的意见》《苏州市关于推进商务高质量发展的若干政策措施》《吴中区国民经济和社会发展第十四个五年规划和二〇三五年远景目标纲要》</w:t>
      </w:r>
      <w:r>
        <w:rPr>
          <w:rFonts w:hint="eastAsia" w:ascii="Times New Roman" w:hAnsi="Times New Roman" w:eastAsia="仿宋_GB2312" w:cs="Times New Roman"/>
          <w:spacing w:val="-11"/>
          <w:sz w:val="32"/>
          <w:szCs w:val="32"/>
          <w:highlight w:val="none"/>
          <w:lang w:val="en-US" w:eastAsia="zh-CN"/>
        </w:rPr>
        <w:t>等相关文件制定</w:t>
      </w:r>
      <w:r>
        <w:rPr>
          <w:rFonts w:hint="default" w:ascii="Times New Roman" w:hAnsi="Times New Roman" w:eastAsia="仿宋_GB2312" w:cs="Times New Roman"/>
          <w:spacing w:val="-11"/>
          <w:sz w:val="32"/>
          <w:szCs w:val="32"/>
          <w:highlight w:val="none"/>
          <w:lang w:val="en-US" w:eastAsia="zh-CN"/>
        </w:rPr>
        <w:t>。</w:t>
      </w:r>
    </w:p>
    <w:p w14:paraId="24C7CD38">
      <w:pPr>
        <w:keepNext w:val="0"/>
        <w:keepLines w:val="0"/>
        <w:pageBreakBefore w:val="0"/>
        <w:widowControl w:val="0"/>
        <w:numPr>
          <w:ilvl w:val="0"/>
          <w:numId w:val="1"/>
        </w:numPr>
        <w:kinsoku/>
        <w:wordWrap/>
        <w:overflowPunct/>
        <w:topLinePunct w:val="0"/>
        <w:autoSpaceDE/>
        <w:autoSpaceDN/>
        <w:bidi w:val="0"/>
        <w:spacing w:line="560" w:lineRule="exact"/>
        <w:ind w:firstLine="596" w:firstLineChars="200"/>
        <w:textAlignment w:val="auto"/>
        <w:rPr>
          <w:rFonts w:hint="eastAsia" w:eastAsia="黑体" w:cs="Times New Roman"/>
          <w:color w:val="000000"/>
          <w:spacing w:val="-11"/>
          <w:kern w:val="2"/>
          <w:sz w:val="32"/>
          <w:szCs w:val="32"/>
          <w:lang w:val="en-US" w:eastAsia="zh-CN" w:bidi="ar-SA"/>
        </w:rPr>
      </w:pPr>
      <w:r>
        <w:rPr>
          <w:rFonts w:hint="eastAsia" w:eastAsia="黑体" w:cs="Times New Roman"/>
          <w:color w:val="000000"/>
          <w:spacing w:val="-11"/>
          <w:kern w:val="2"/>
          <w:sz w:val="32"/>
          <w:szCs w:val="32"/>
          <w:lang w:val="en-US" w:eastAsia="zh-CN" w:bidi="ar-SA"/>
        </w:rPr>
        <w:t>起草和征求意见情况</w:t>
      </w:r>
    </w:p>
    <w:p w14:paraId="31263653">
      <w:pPr>
        <w:keepNext w:val="0"/>
        <w:keepLines w:val="0"/>
        <w:pageBreakBefore w:val="0"/>
        <w:widowControl w:val="0"/>
        <w:kinsoku/>
        <w:wordWrap/>
        <w:overflowPunct/>
        <w:topLinePunct w:val="0"/>
        <w:autoSpaceDE/>
        <w:autoSpaceDN/>
        <w:bidi w:val="0"/>
        <w:spacing w:line="560" w:lineRule="exact"/>
        <w:ind w:firstLine="596" w:firstLineChars="200"/>
        <w:textAlignment w:val="auto"/>
        <w:rPr>
          <w:rFonts w:hint="eastAsia" w:eastAsia="黑体" w:cs="Times New Roman"/>
          <w:color w:val="000000"/>
          <w:spacing w:val="-11"/>
          <w:kern w:val="2"/>
          <w:sz w:val="32"/>
          <w:szCs w:val="32"/>
          <w:lang w:val="en-US" w:eastAsia="zh-CN" w:bidi="ar-SA"/>
        </w:rPr>
      </w:pPr>
      <w:r>
        <w:rPr>
          <w:rFonts w:hint="default" w:ascii="Times New Roman" w:hAnsi="Times New Roman" w:eastAsia="仿宋_GB2312" w:cs="Times New Roman"/>
          <w:spacing w:val="-11"/>
          <w:sz w:val="32"/>
          <w:szCs w:val="32"/>
          <w:highlight w:val="none"/>
        </w:rPr>
        <w:t>经</w:t>
      </w:r>
      <w:r>
        <w:rPr>
          <w:rFonts w:hint="default" w:ascii="Times New Roman" w:hAnsi="Times New Roman" w:eastAsia="仿宋_GB2312" w:cs="Times New Roman"/>
          <w:spacing w:val="-11"/>
          <w:sz w:val="32"/>
          <w:szCs w:val="32"/>
          <w:highlight w:val="none"/>
          <w:lang w:eastAsia="zh-CN"/>
        </w:rPr>
        <w:t>过</w:t>
      </w:r>
      <w:r>
        <w:rPr>
          <w:rFonts w:hint="default" w:ascii="Times New Roman" w:hAnsi="Times New Roman" w:eastAsia="仿宋_GB2312" w:cs="Times New Roman"/>
          <w:spacing w:val="-11"/>
          <w:sz w:val="32"/>
          <w:szCs w:val="32"/>
          <w:highlight w:val="none"/>
        </w:rPr>
        <w:t>广泛座谈、走访调研、</w:t>
      </w:r>
      <w:r>
        <w:rPr>
          <w:rFonts w:hint="default" w:ascii="Times New Roman" w:hAnsi="Times New Roman" w:eastAsia="仿宋_GB2312" w:cs="Times New Roman"/>
          <w:spacing w:val="-11"/>
          <w:sz w:val="32"/>
          <w:szCs w:val="32"/>
          <w:highlight w:val="none"/>
          <w:lang w:eastAsia="zh-CN"/>
        </w:rPr>
        <w:t>问卷调查、比较周边板块</w:t>
      </w:r>
      <w:r>
        <w:rPr>
          <w:rFonts w:hint="default" w:ascii="Times New Roman" w:hAnsi="Times New Roman" w:eastAsia="仿宋_GB2312" w:cs="Times New Roman"/>
          <w:spacing w:val="-11"/>
          <w:sz w:val="32"/>
          <w:szCs w:val="32"/>
          <w:highlight w:val="none"/>
        </w:rPr>
        <w:t>及</w:t>
      </w:r>
      <w:r>
        <w:rPr>
          <w:rFonts w:hint="default" w:ascii="Times New Roman" w:hAnsi="Times New Roman" w:eastAsia="仿宋_GB2312" w:cs="Times New Roman"/>
          <w:spacing w:val="-11"/>
          <w:sz w:val="32"/>
          <w:szCs w:val="32"/>
          <w:highlight w:val="none"/>
          <w:lang w:eastAsia="zh-CN"/>
        </w:rPr>
        <w:t>市级新一轮政策动向</w:t>
      </w:r>
      <w:r>
        <w:rPr>
          <w:rFonts w:hint="default" w:ascii="Times New Roman" w:hAnsi="Times New Roman" w:eastAsia="仿宋_GB2312" w:cs="Times New Roman"/>
          <w:spacing w:val="-11"/>
          <w:sz w:val="32"/>
          <w:szCs w:val="32"/>
          <w:highlight w:val="none"/>
        </w:rPr>
        <w:t>，</w:t>
      </w:r>
      <w:r>
        <w:rPr>
          <w:rFonts w:hint="eastAsia" w:eastAsia="仿宋_GB2312" w:cs="Times New Roman"/>
          <w:spacing w:val="-11"/>
          <w:sz w:val="32"/>
          <w:szCs w:val="32"/>
          <w:highlight w:val="none"/>
          <w:lang w:eastAsia="zh-CN"/>
        </w:rPr>
        <w:t>区商务局</w:t>
      </w:r>
      <w:r>
        <w:rPr>
          <w:rFonts w:hint="default" w:ascii="Times New Roman" w:hAnsi="Times New Roman" w:eastAsia="仿宋_GB2312" w:cs="Times New Roman"/>
          <w:spacing w:val="-11"/>
          <w:sz w:val="32"/>
          <w:szCs w:val="32"/>
          <w:highlight w:val="none"/>
          <w:lang w:eastAsia="zh-CN"/>
        </w:rPr>
        <w:t>起草了</w:t>
      </w:r>
      <w:r>
        <w:rPr>
          <w:rFonts w:hint="eastAsia" w:ascii="Times New Roman" w:hAnsi="Times New Roman" w:eastAsia="仿宋_GB2312" w:cs="Times New Roman"/>
          <w:spacing w:val="-11"/>
          <w:sz w:val="32"/>
          <w:szCs w:val="32"/>
          <w:highlight w:val="none"/>
          <w:lang w:eastAsia="zh-CN"/>
        </w:rPr>
        <w:t>《</w:t>
      </w:r>
      <w:r>
        <w:rPr>
          <w:rFonts w:hint="default" w:ascii="Times New Roman" w:hAnsi="Times New Roman" w:eastAsia="仿宋_GB2312" w:cs="Times New Roman"/>
          <w:spacing w:val="-11"/>
          <w:sz w:val="32"/>
          <w:szCs w:val="32"/>
          <w:highlight w:val="none"/>
          <w:lang w:eastAsia="zh-CN"/>
        </w:rPr>
        <w:t>措施</w:t>
      </w:r>
      <w:r>
        <w:rPr>
          <w:rFonts w:hint="eastAsia" w:ascii="Times New Roman" w:hAnsi="Times New Roman" w:eastAsia="仿宋_GB2312" w:cs="Times New Roman"/>
          <w:spacing w:val="-11"/>
          <w:sz w:val="32"/>
          <w:szCs w:val="32"/>
          <w:highlight w:val="none"/>
          <w:lang w:eastAsia="zh-CN"/>
        </w:rPr>
        <w:t>》</w:t>
      </w:r>
      <w:r>
        <w:rPr>
          <w:rFonts w:hint="default" w:ascii="Times New Roman" w:hAnsi="Times New Roman" w:eastAsia="仿宋_GB2312" w:cs="Times New Roman"/>
          <w:spacing w:val="-11"/>
          <w:sz w:val="32"/>
          <w:szCs w:val="32"/>
          <w:highlight w:val="none"/>
          <w:lang w:eastAsia="zh-CN"/>
        </w:rPr>
        <w:t>讨论稿</w:t>
      </w:r>
      <w:r>
        <w:rPr>
          <w:rFonts w:hint="eastAsia" w:eastAsia="仿宋_GB2312" w:cs="Times New Roman"/>
          <w:spacing w:val="-11"/>
          <w:sz w:val="32"/>
          <w:szCs w:val="32"/>
          <w:highlight w:val="none"/>
          <w:lang w:eastAsia="zh-CN"/>
        </w:rPr>
        <w:t>并</w:t>
      </w:r>
      <w:r>
        <w:rPr>
          <w:rFonts w:hint="eastAsia" w:ascii="Times New Roman" w:hAnsi="Times New Roman" w:eastAsia="仿宋_GB2312" w:cs="Times New Roman"/>
          <w:spacing w:val="-11"/>
          <w:sz w:val="32"/>
          <w:szCs w:val="32"/>
          <w:highlight w:val="none"/>
          <w:lang w:eastAsia="zh-CN"/>
        </w:rPr>
        <w:t>通过吴中区人民政府官网公开征求社会意见</w:t>
      </w:r>
      <w:r>
        <w:rPr>
          <w:rFonts w:hint="default" w:ascii="Times New Roman" w:hAnsi="Times New Roman" w:eastAsia="仿宋_GB2312" w:cs="Times New Roman"/>
          <w:spacing w:val="-11"/>
          <w:sz w:val="32"/>
          <w:szCs w:val="32"/>
          <w:highlight w:val="none"/>
          <w:lang w:eastAsia="zh-CN"/>
        </w:rPr>
        <w:t>；后续</w:t>
      </w:r>
      <w:r>
        <w:rPr>
          <w:rFonts w:hint="default" w:ascii="Times New Roman" w:hAnsi="Times New Roman" w:eastAsia="仿宋_GB2312" w:cs="Times New Roman"/>
          <w:spacing w:val="-11"/>
          <w:sz w:val="32"/>
          <w:szCs w:val="32"/>
          <w:highlight w:val="none"/>
          <w:lang w:val="en-US" w:eastAsia="zh-CN"/>
        </w:rPr>
        <w:t>在听取</w:t>
      </w:r>
      <w:r>
        <w:rPr>
          <w:rFonts w:hint="default" w:ascii="Times New Roman" w:hAnsi="Times New Roman" w:eastAsia="仿宋_GB2312" w:cs="Times New Roman"/>
          <w:spacing w:val="-11"/>
          <w:sz w:val="32"/>
          <w:szCs w:val="32"/>
          <w:highlight w:val="none"/>
          <w:lang w:eastAsia="zh-CN"/>
        </w:rPr>
        <w:t>公平竞争审查小组会审、司法局</w:t>
      </w:r>
      <w:r>
        <w:rPr>
          <w:rFonts w:hint="default" w:ascii="Times New Roman" w:hAnsi="Times New Roman" w:eastAsia="仿宋_GB2312" w:cs="Times New Roman"/>
          <w:spacing w:val="-11"/>
          <w:sz w:val="32"/>
          <w:szCs w:val="32"/>
          <w:highlight w:val="none"/>
          <w:lang w:val="en-US" w:eastAsia="zh-CN"/>
        </w:rPr>
        <w:t>合法性审查及财政局等</w:t>
      </w:r>
      <w:r>
        <w:rPr>
          <w:rFonts w:hint="default" w:ascii="Times New Roman" w:hAnsi="Times New Roman" w:eastAsia="仿宋_GB2312" w:cs="Times New Roman"/>
          <w:spacing w:val="-11"/>
          <w:sz w:val="32"/>
          <w:szCs w:val="32"/>
          <w:highlight w:val="none"/>
        </w:rPr>
        <w:t>各级各方</w:t>
      </w:r>
      <w:r>
        <w:rPr>
          <w:rFonts w:hint="default" w:ascii="Times New Roman" w:hAnsi="Times New Roman" w:eastAsia="仿宋_GB2312" w:cs="Times New Roman"/>
          <w:spacing w:val="-11"/>
          <w:sz w:val="32"/>
          <w:szCs w:val="32"/>
          <w:highlight w:val="none"/>
          <w:lang w:eastAsia="zh-CN"/>
        </w:rPr>
        <w:t>意见</w:t>
      </w:r>
      <w:r>
        <w:rPr>
          <w:rFonts w:hint="default" w:ascii="Times New Roman" w:hAnsi="Times New Roman" w:eastAsia="仿宋_GB2312" w:cs="Times New Roman"/>
          <w:spacing w:val="-11"/>
          <w:sz w:val="32"/>
          <w:szCs w:val="32"/>
          <w:highlight w:val="none"/>
        </w:rPr>
        <w:t>的基础上，多轮</w:t>
      </w:r>
      <w:r>
        <w:rPr>
          <w:rFonts w:hint="eastAsia" w:ascii="Times New Roman" w:hAnsi="Times New Roman" w:eastAsia="仿宋_GB2312" w:cs="Times New Roman"/>
          <w:spacing w:val="-11"/>
          <w:sz w:val="32"/>
          <w:szCs w:val="32"/>
          <w:highlight w:val="none"/>
          <w:lang w:eastAsia="zh-CN"/>
        </w:rPr>
        <w:t>研讨</w:t>
      </w:r>
      <w:r>
        <w:rPr>
          <w:rFonts w:hint="default" w:ascii="Times New Roman" w:hAnsi="Times New Roman" w:eastAsia="仿宋_GB2312" w:cs="Times New Roman"/>
          <w:spacing w:val="-11"/>
          <w:sz w:val="32"/>
          <w:szCs w:val="32"/>
          <w:highlight w:val="none"/>
        </w:rPr>
        <w:t>修改</w:t>
      </w:r>
      <w:r>
        <w:rPr>
          <w:rFonts w:hint="eastAsia" w:ascii="Times New Roman" w:hAnsi="Times New Roman" w:eastAsia="仿宋_GB2312" w:cs="Times New Roman"/>
          <w:spacing w:val="-11"/>
          <w:sz w:val="32"/>
          <w:szCs w:val="32"/>
          <w:highlight w:val="none"/>
          <w:lang w:eastAsia="zh-CN"/>
        </w:rPr>
        <w:t>形成了送审稿</w:t>
      </w:r>
      <w:r>
        <w:rPr>
          <w:rFonts w:hint="eastAsia" w:eastAsia="仿宋_GB2312" w:cs="Times New Roman"/>
          <w:spacing w:val="-11"/>
          <w:sz w:val="32"/>
          <w:szCs w:val="32"/>
          <w:highlight w:val="none"/>
          <w:lang w:eastAsia="zh-CN"/>
        </w:rPr>
        <w:t>，经</w:t>
      </w:r>
      <w:r>
        <w:rPr>
          <w:rFonts w:hint="default" w:ascii="Times New Roman" w:hAnsi="Times New Roman" w:eastAsia="仿宋_GB2312" w:cs="Times New Roman"/>
          <w:spacing w:val="-11"/>
          <w:sz w:val="32"/>
          <w:szCs w:val="32"/>
          <w:highlight w:val="none"/>
          <w:lang w:val="en-US" w:eastAsia="zh-CN"/>
        </w:rPr>
        <w:t>区政府常务会</w:t>
      </w:r>
      <w:r>
        <w:rPr>
          <w:rFonts w:hint="eastAsia" w:eastAsia="仿宋_GB2312" w:cs="Times New Roman"/>
          <w:spacing w:val="-11"/>
          <w:sz w:val="32"/>
          <w:szCs w:val="32"/>
          <w:highlight w:val="none"/>
          <w:lang w:val="en-US" w:eastAsia="zh-CN"/>
        </w:rPr>
        <w:t>、区委常委会</w:t>
      </w:r>
      <w:r>
        <w:rPr>
          <w:rFonts w:hint="default" w:ascii="Times New Roman" w:hAnsi="Times New Roman" w:eastAsia="仿宋_GB2312" w:cs="Times New Roman"/>
          <w:spacing w:val="-11"/>
          <w:sz w:val="32"/>
          <w:szCs w:val="32"/>
          <w:highlight w:val="none"/>
        </w:rPr>
        <w:t>审议</w:t>
      </w:r>
      <w:r>
        <w:rPr>
          <w:rFonts w:hint="eastAsia" w:eastAsia="仿宋_GB2312" w:cs="Times New Roman"/>
          <w:spacing w:val="-11"/>
          <w:sz w:val="32"/>
          <w:szCs w:val="32"/>
          <w:highlight w:val="none"/>
          <w:lang w:eastAsia="zh-CN"/>
        </w:rPr>
        <w:t>后，最终进行了</w:t>
      </w:r>
      <w:bookmarkStart w:id="1" w:name="_GoBack"/>
      <w:bookmarkEnd w:id="1"/>
      <w:r>
        <w:rPr>
          <w:rFonts w:hint="eastAsia" w:eastAsia="仿宋_GB2312" w:cs="Times New Roman"/>
          <w:spacing w:val="-11"/>
          <w:sz w:val="32"/>
          <w:szCs w:val="32"/>
          <w:highlight w:val="none"/>
          <w:lang w:eastAsia="zh-CN"/>
        </w:rPr>
        <w:t>修改完善</w:t>
      </w:r>
      <w:r>
        <w:rPr>
          <w:rFonts w:hint="eastAsia" w:eastAsia="仿宋_GB2312" w:cs="Times New Roman"/>
          <w:spacing w:val="-11"/>
          <w:sz w:val="32"/>
          <w:szCs w:val="32"/>
          <w:highlight w:val="none"/>
          <w:lang w:val="en-US" w:eastAsia="zh-CN"/>
        </w:rPr>
        <w:t>。</w:t>
      </w:r>
    </w:p>
    <w:p w14:paraId="0CC3B7D9">
      <w:pPr>
        <w:keepNext w:val="0"/>
        <w:keepLines w:val="0"/>
        <w:pageBreakBefore w:val="0"/>
        <w:widowControl w:val="0"/>
        <w:numPr>
          <w:ilvl w:val="0"/>
          <w:numId w:val="0"/>
        </w:numPr>
        <w:kinsoku/>
        <w:wordWrap/>
        <w:overflowPunct/>
        <w:topLinePunct w:val="0"/>
        <w:autoSpaceDE/>
        <w:autoSpaceDN/>
        <w:bidi w:val="0"/>
        <w:spacing w:line="560" w:lineRule="exact"/>
        <w:textAlignment w:val="auto"/>
        <w:rPr>
          <w:rFonts w:hint="default" w:eastAsia="黑体" w:cs="Times New Roman"/>
          <w:color w:val="000000"/>
          <w:spacing w:val="-11"/>
          <w:kern w:val="2"/>
          <w:sz w:val="32"/>
          <w:szCs w:val="32"/>
          <w:lang w:val="en-US" w:eastAsia="zh-CN" w:bidi="ar-SA"/>
        </w:rPr>
      </w:pPr>
      <w:r>
        <w:rPr>
          <w:rFonts w:hint="eastAsia" w:eastAsia="黑体" w:cs="Times New Roman"/>
          <w:color w:val="000000"/>
          <w:spacing w:val="-11"/>
          <w:kern w:val="2"/>
          <w:sz w:val="32"/>
          <w:szCs w:val="32"/>
          <w:lang w:val="en-US" w:eastAsia="zh-CN" w:bidi="ar-SA"/>
        </w:rPr>
        <w:t xml:space="preserve">     六、《措施》的主要内容</w:t>
      </w:r>
    </w:p>
    <w:p w14:paraId="084C2CF9">
      <w:pPr>
        <w:spacing w:beforeLines="0" w:afterLines="0" w:line="560" w:lineRule="exact"/>
        <w:ind w:firstLine="596" w:firstLineChars="200"/>
        <w:rPr>
          <w:rFonts w:hint="default" w:eastAsia="仿宋_GB2312"/>
          <w:b w:val="0"/>
          <w:bCs w:val="0"/>
          <w:color w:val="auto"/>
          <w:spacing w:val="-11"/>
          <w:sz w:val="32"/>
          <w:szCs w:val="32"/>
        </w:rPr>
      </w:pPr>
      <w:r>
        <w:rPr>
          <w:rFonts w:hint="eastAsia" w:eastAsia="仿宋_GB2312"/>
          <w:spacing w:val="-11"/>
          <w:sz w:val="32"/>
          <w:szCs w:val="32"/>
        </w:rPr>
        <w:t>《措施》主要分为五个部分（含附则），共计21条。</w:t>
      </w:r>
      <w:r>
        <w:rPr>
          <w:rFonts w:hint="eastAsia" w:eastAsia="仿宋_GB2312"/>
          <w:color w:val="auto"/>
          <w:spacing w:val="-11"/>
          <w:sz w:val="32"/>
          <w:szCs w:val="32"/>
        </w:rPr>
        <w:t>具体如下：</w:t>
      </w:r>
    </w:p>
    <w:p w14:paraId="4526B11B">
      <w:pPr>
        <w:numPr>
          <w:ilvl w:val="0"/>
          <w:numId w:val="2"/>
        </w:numPr>
        <w:spacing w:beforeLines="0" w:afterLines="0" w:line="560" w:lineRule="exact"/>
        <w:ind w:firstLine="596" w:firstLineChars="200"/>
        <w:rPr>
          <w:rFonts w:hint="eastAsia" w:ascii="Times New Roman" w:hAnsi="Times New Roman" w:eastAsia="仿宋_GB2312" w:cs="Times New Roman"/>
          <w:b w:val="0"/>
          <w:bCs w:val="0"/>
          <w:spacing w:val="-11"/>
          <w:sz w:val="32"/>
          <w:szCs w:val="32"/>
          <w:highlight w:val="none"/>
        </w:rPr>
      </w:pPr>
      <w:r>
        <w:rPr>
          <w:rFonts w:hint="eastAsia" w:eastAsia="楷体_GB2312"/>
          <w:b w:val="0"/>
          <w:bCs w:val="0"/>
          <w:color w:val="auto"/>
          <w:spacing w:val="-11"/>
          <w:sz w:val="32"/>
          <w:szCs w:val="32"/>
        </w:rPr>
        <w:t>提</w:t>
      </w:r>
      <w:r>
        <w:rPr>
          <w:rFonts w:hint="eastAsia" w:eastAsia="楷体_GB2312"/>
          <w:b w:val="0"/>
          <w:bCs w:val="0"/>
          <w:spacing w:val="-11"/>
          <w:sz w:val="32"/>
          <w:szCs w:val="32"/>
        </w:rPr>
        <w:t>升外贸发展水平。</w:t>
      </w:r>
      <w:r>
        <w:rPr>
          <w:rFonts w:hint="eastAsia" w:eastAsia="仿宋_GB2312"/>
          <w:b w:val="0"/>
          <w:bCs w:val="0"/>
          <w:spacing w:val="-11"/>
          <w:sz w:val="32"/>
          <w:szCs w:val="32"/>
        </w:rPr>
        <w:t>共5个条目，包括推动外贸稳中提质，强化出口品牌建设，加大出口信用保险支持，支持外贸企业规范化管理，推动综保区高质量发展。</w:t>
      </w:r>
      <w:r>
        <w:rPr>
          <w:rFonts w:hint="eastAsia" w:ascii="Times New Roman" w:hAnsi="Times New Roman" w:eastAsia="仿宋_GB2312" w:cs="Times New Roman"/>
          <w:b w:val="0"/>
          <w:bCs w:val="0"/>
          <w:spacing w:val="-11"/>
          <w:sz w:val="32"/>
          <w:szCs w:val="32"/>
          <w:highlight w:val="none"/>
        </w:rPr>
        <w:t>对</w:t>
      </w:r>
      <w:r>
        <w:rPr>
          <w:rFonts w:hint="eastAsia" w:eastAsia="仿宋_GB2312" w:cs="Times New Roman"/>
          <w:b w:val="0"/>
          <w:bCs w:val="0"/>
          <w:spacing w:val="-11"/>
          <w:sz w:val="32"/>
          <w:szCs w:val="32"/>
          <w:highlight w:val="none"/>
          <w:lang w:eastAsia="zh-CN"/>
        </w:rPr>
        <w:t>外贸头部企业、获出口品牌企业、</w:t>
      </w:r>
      <w:r>
        <w:rPr>
          <w:rFonts w:hint="eastAsia" w:ascii="Times New Roman" w:hAnsi="Times New Roman" w:eastAsia="仿宋_GB2312" w:cs="Times New Roman"/>
          <w:b w:val="0"/>
          <w:bCs w:val="0"/>
          <w:spacing w:val="-11"/>
          <w:sz w:val="32"/>
          <w:szCs w:val="32"/>
          <w:highlight w:val="none"/>
        </w:rPr>
        <w:t>出口信保企业、AEO高级认证的企业</w:t>
      </w:r>
      <w:r>
        <w:rPr>
          <w:rFonts w:hint="eastAsia" w:eastAsia="仿宋_GB2312" w:cs="Times New Roman"/>
          <w:b w:val="0"/>
          <w:bCs w:val="0"/>
          <w:spacing w:val="-11"/>
          <w:sz w:val="32"/>
          <w:szCs w:val="32"/>
          <w:highlight w:val="none"/>
          <w:lang w:eastAsia="zh-CN"/>
        </w:rPr>
        <w:t>、</w:t>
      </w:r>
      <w:r>
        <w:rPr>
          <w:rFonts w:hint="eastAsia" w:ascii="Times New Roman" w:hAnsi="Times New Roman" w:eastAsia="仿宋_GB2312" w:cs="Times New Roman"/>
          <w:b w:val="0"/>
          <w:bCs w:val="0"/>
          <w:spacing w:val="-11"/>
          <w:sz w:val="32"/>
          <w:szCs w:val="32"/>
          <w:highlight w:val="none"/>
        </w:rPr>
        <w:t>综保区开展保税业态企业</w:t>
      </w:r>
      <w:r>
        <w:rPr>
          <w:rFonts w:hint="eastAsia" w:eastAsia="仿宋_GB2312" w:cs="Times New Roman"/>
          <w:b w:val="0"/>
          <w:bCs w:val="0"/>
          <w:spacing w:val="-11"/>
          <w:sz w:val="32"/>
          <w:szCs w:val="32"/>
          <w:highlight w:val="none"/>
          <w:lang w:eastAsia="zh-CN"/>
        </w:rPr>
        <w:t>予以扶持</w:t>
      </w:r>
      <w:r>
        <w:rPr>
          <w:rFonts w:hint="eastAsia" w:ascii="Times New Roman" w:hAnsi="Times New Roman" w:eastAsia="仿宋_GB2312" w:cs="Times New Roman"/>
          <w:b w:val="0"/>
          <w:bCs w:val="0"/>
          <w:spacing w:val="-11"/>
          <w:sz w:val="32"/>
          <w:szCs w:val="32"/>
          <w:highlight w:val="none"/>
        </w:rPr>
        <w:t>。</w:t>
      </w:r>
    </w:p>
    <w:p w14:paraId="6F2F2803">
      <w:pPr>
        <w:spacing w:beforeLines="0" w:afterLines="0" w:line="560" w:lineRule="exact"/>
        <w:ind w:firstLine="596" w:firstLineChars="200"/>
        <w:rPr>
          <w:rFonts w:hint="eastAsia" w:ascii="Times New Roman" w:hAnsi="Times New Roman" w:eastAsia="仿宋_GB2312" w:cs="Times New Roman"/>
          <w:b w:val="0"/>
          <w:bCs w:val="0"/>
          <w:spacing w:val="-11"/>
          <w:sz w:val="32"/>
          <w:szCs w:val="32"/>
          <w:highlight w:val="none"/>
        </w:rPr>
      </w:pPr>
      <w:r>
        <w:rPr>
          <w:rFonts w:hint="eastAsia" w:eastAsia="楷体_GB2312"/>
          <w:b w:val="0"/>
          <w:bCs w:val="0"/>
          <w:spacing w:val="-11"/>
          <w:sz w:val="32"/>
          <w:szCs w:val="32"/>
        </w:rPr>
        <w:t>（二）加快服务贸易创新发展。</w:t>
      </w:r>
      <w:r>
        <w:rPr>
          <w:rFonts w:hint="eastAsia" w:eastAsia="仿宋_GB2312"/>
          <w:b w:val="0"/>
          <w:bCs w:val="0"/>
          <w:spacing w:val="-11"/>
          <w:sz w:val="32"/>
          <w:szCs w:val="32"/>
        </w:rPr>
        <w:t>共2个条目，包括支持服务贸易发展，加快发展服务外包。</w:t>
      </w:r>
      <w:r>
        <w:rPr>
          <w:rFonts w:hint="eastAsia" w:ascii="Times New Roman" w:hAnsi="Times New Roman" w:eastAsia="仿宋_GB2312" w:cs="Times New Roman"/>
          <w:b w:val="0"/>
          <w:bCs w:val="0"/>
          <w:spacing w:val="-11"/>
          <w:sz w:val="32"/>
          <w:szCs w:val="32"/>
          <w:highlight w:val="none"/>
        </w:rPr>
        <w:t>升级了服务贸易奖励门槛及奖补比例</w:t>
      </w:r>
      <w:r>
        <w:rPr>
          <w:rFonts w:hint="eastAsia" w:eastAsia="仿宋_GB2312" w:cs="Times New Roman"/>
          <w:b w:val="0"/>
          <w:bCs w:val="0"/>
          <w:spacing w:val="-11"/>
          <w:sz w:val="32"/>
          <w:szCs w:val="32"/>
          <w:highlight w:val="none"/>
          <w:lang w:eastAsia="zh-CN"/>
        </w:rPr>
        <w:t>，</w:t>
      </w:r>
      <w:r>
        <w:rPr>
          <w:rFonts w:hint="eastAsia" w:ascii="Times New Roman" w:hAnsi="Times New Roman" w:eastAsia="仿宋_GB2312" w:cs="Times New Roman"/>
          <w:b w:val="0"/>
          <w:bCs w:val="0"/>
          <w:spacing w:val="-11"/>
          <w:sz w:val="32"/>
          <w:szCs w:val="32"/>
          <w:highlight w:val="none"/>
        </w:rPr>
        <w:t>同时</w:t>
      </w:r>
      <w:r>
        <w:rPr>
          <w:rFonts w:hint="eastAsia" w:ascii="Times New Roman" w:hAnsi="Times New Roman" w:eastAsia="仿宋_GB2312" w:cs="Times New Roman"/>
          <w:b w:val="0"/>
          <w:bCs w:val="0"/>
          <w:spacing w:val="-11"/>
          <w:kern w:val="2"/>
          <w:sz w:val="32"/>
          <w:szCs w:val="32"/>
          <w:highlight w:val="none"/>
        </w:rPr>
        <w:t>扶持一批服务贸易创新发展重点企业，</w:t>
      </w:r>
      <w:r>
        <w:rPr>
          <w:rFonts w:hint="eastAsia" w:ascii="Times New Roman" w:hAnsi="Times New Roman" w:eastAsia="仿宋_GB2312" w:cs="Times New Roman"/>
          <w:b w:val="0"/>
          <w:bCs w:val="0"/>
          <w:spacing w:val="-11"/>
          <w:sz w:val="32"/>
          <w:szCs w:val="32"/>
          <w:highlight w:val="none"/>
        </w:rPr>
        <w:t>推动服务贸易做大做强。</w:t>
      </w:r>
    </w:p>
    <w:p w14:paraId="479CB077">
      <w:pPr>
        <w:spacing w:beforeLines="0" w:afterLines="0" w:line="560" w:lineRule="exact"/>
        <w:ind w:firstLine="596" w:firstLineChars="200"/>
        <w:rPr>
          <w:rFonts w:hint="eastAsia" w:ascii="Times New Roman" w:hAnsi="Times New Roman" w:eastAsia="仿宋_GB2312" w:cs="Times New Roman"/>
          <w:b w:val="0"/>
          <w:bCs w:val="0"/>
          <w:spacing w:val="-11"/>
          <w:sz w:val="32"/>
          <w:szCs w:val="32"/>
          <w:highlight w:val="none"/>
        </w:rPr>
      </w:pPr>
      <w:r>
        <w:rPr>
          <w:rFonts w:hint="eastAsia" w:eastAsia="楷体_GB2312"/>
          <w:b w:val="0"/>
          <w:bCs w:val="0"/>
          <w:spacing w:val="-11"/>
          <w:sz w:val="32"/>
          <w:szCs w:val="32"/>
        </w:rPr>
        <w:t>（三）推动</w:t>
      </w:r>
      <w:r>
        <w:rPr>
          <w:rFonts w:hint="eastAsia" w:eastAsia="楷体_GB2312"/>
          <w:b w:val="0"/>
          <w:bCs w:val="0"/>
          <w:spacing w:val="-11"/>
          <w:sz w:val="32"/>
          <w:szCs w:val="32"/>
          <w:lang w:eastAsia="zh-CN"/>
        </w:rPr>
        <w:t>外</w:t>
      </w:r>
      <w:r>
        <w:rPr>
          <w:rFonts w:hint="eastAsia" w:eastAsia="楷体_GB2312"/>
          <w:b w:val="0"/>
          <w:bCs w:val="0"/>
          <w:spacing w:val="-11"/>
          <w:sz w:val="32"/>
          <w:szCs w:val="32"/>
        </w:rPr>
        <w:t>资提质增效。</w:t>
      </w:r>
      <w:r>
        <w:rPr>
          <w:rFonts w:hint="eastAsia" w:eastAsia="仿宋_GB2312"/>
          <w:b w:val="0"/>
          <w:bCs w:val="0"/>
          <w:spacing w:val="-11"/>
          <w:sz w:val="32"/>
          <w:szCs w:val="32"/>
        </w:rPr>
        <w:t>共4个条目，包括</w:t>
      </w:r>
      <w:r>
        <w:rPr>
          <w:rFonts w:hint="eastAsia" w:eastAsia="仿宋_GB2312"/>
          <w:b w:val="0"/>
          <w:bCs w:val="0"/>
          <w:color w:val="000000"/>
          <w:spacing w:val="-11"/>
          <w:kern w:val="0"/>
          <w:sz w:val="32"/>
          <w:szCs w:val="32"/>
        </w:rPr>
        <w:t>鼓励</w:t>
      </w:r>
      <w:r>
        <w:rPr>
          <w:rFonts w:hint="eastAsia" w:eastAsia="仿宋_GB2312"/>
          <w:b w:val="0"/>
          <w:bCs w:val="0"/>
          <w:color w:val="000000"/>
          <w:spacing w:val="-11"/>
          <w:kern w:val="0"/>
          <w:sz w:val="32"/>
          <w:szCs w:val="32"/>
          <w:lang w:eastAsia="zh-CN"/>
        </w:rPr>
        <w:t>商务合作，</w:t>
      </w:r>
      <w:r>
        <w:rPr>
          <w:rFonts w:hint="eastAsia" w:eastAsia="仿宋_GB2312"/>
          <w:b w:val="0"/>
          <w:bCs w:val="0"/>
          <w:color w:val="000000"/>
          <w:spacing w:val="-11"/>
          <w:kern w:val="0"/>
          <w:sz w:val="32"/>
          <w:szCs w:val="32"/>
        </w:rPr>
        <w:t>支持外资引育并举</w:t>
      </w:r>
      <w:r>
        <w:rPr>
          <w:rFonts w:hint="eastAsia" w:eastAsia="仿宋_GB2312"/>
          <w:b w:val="0"/>
          <w:bCs w:val="0"/>
          <w:color w:val="000000"/>
          <w:spacing w:val="-11"/>
          <w:kern w:val="0"/>
          <w:sz w:val="32"/>
          <w:szCs w:val="32"/>
          <w:lang w:eastAsia="zh-CN"/>
        </w:rPr>
        <w:t>，</w:t>
      </w:r>
      <w:r>
        <w:rPr>
          <w:rFonts w:hint="eastAsia" w:eastAsia="仿宋_GB2312"/>
          <w:b w:val="0"/>
          <w:bCs w:val="0"/>
          <w:color w:val="000000"/>
          <w:spacing w:val="-11"/>
          <w:kern w:val="0"/>
          <w:sz w:val="32"/>
          <w:szCs w:val="32"/>
        </w:rPr>
        <w:t>支持外企增资扩产</w:t>
      </w:r>
      <w:r>
        <w:rPr>
          <w:rFonts w:hint="eastAsia" w:eastAsia="仿宋_GB2312"/>
          <w:b w:val="0"/>
          <w:bCs w:val="0"/>
          <w:color w:val="000000"/>
          <w:spacing w:val="-11"/>
          <w:kern w:val="0"/>
          <w:sz w:val="32"/>
          <w:szCs w:val="32"/>
          <w:lang w:eastAsia="zh-CN"/>
        </w:rPr>
        <w:t>，</w:t>
      </w:r>
      <w:r>
        <w:rPr>
          <w:rFonts w:hint="eastAsia" w:eastAsia="仿宋_GB2312"/>
          <w:b w:val="0"/>
          <w:bCs w:val="0"/>
          <w:color w:val="000000"/>
          <w:spacing w:val="-11"/>
          <w:kern w:val="0"/>
          <w:sz w:val="32"/>
          <w:szCs w:val="32"/>
        </w:rPr>
        <w:t>鼓励外企利润再投。</w:t>
      </w:r>
      <w:r>
        <w:rPr>
          <w:rFonts w:hint="eastAsia" w:ascii="Times New Roman" w:hAnsi="Times New Roman" w:eastAsia="仿宋_GB2312" w:cs="Times New Roman"/>
          <w:b w:val="0"/>
          <w:bCs w:val="0"/>
          <w:spacing w:val="-11"/>
          <w:kern w:val="2"/>
          <w:sz w:val="32"/>
          <w:szCs w:val="32"/>
          <w:highlight w:val="none"/>
        </w:rPr>
        <w:t>对为外资招引作出贡献的</w:t>
      </w:r>
      <w:r>
        <w:rPr>
          <w:rFonts w:hint="eastAsia" w:ascii="Times New Roman" w:hAnsi="Times New Roman" w:eastAsia="仿宋_GB2312" w:cs="Times New Roman"/>
          <w:b w:val="0"/>
          <w:bCs w:val="0"/>
          <w:spacing w:val="-11"/>
          <w:sz w:val="32"/>
          <w:szCs w:val="32"/>
          <w:highlight w:val="none"/>
        </w:rPr>
        <w:t>知名机构、企业、组织予以奖励；同时，对外资新设并到账的项目、存量增资扩产项目、利润再投项目、省级总部和功能性机构项目</w:t>
      </w:r>
      <w:r>
        <w:rPr>
          <w:rFonts w:hint="eastAsia" w:ascii="Times New Roman" w:hAnsi="Times New Roman" w:eastAsia="仿宋_GB2312" w:cs="Times New Roman"/>
          <w:b w:val="0"/>
          <w:bCs w:val="0"/>
          <w:spacing w:val="-11"/>
          <w:sz w:val="32"/>
          <w:szCs w:val="32"/>
          <w:highlight w:val="none"/>
          <w:lang w:eastAsia="zh-CN"/>
        </w:rPr>
        <w:t>均</w:t>
      </w:r>
      <w:r>
        <w:rPr>
          <w:rFonts w:hint="eastAsia" w:ascii="Times New Roman" w:hAnsi="Times New Roman" w:eastAsia="仿宋_GB2312" w:cs="Times New Roman"/>
          <w:b w:val="0"/>
          <w:bCs w:val="0"/>
          <w:spacing w:val="-11"/>
          <w:sz w:val="32"/>
          <w:szCs w:val="32"/>
          <w:highlight w:val="none"/>
        </w:rPr>
        <w:t>加大支持力度。</w:t>
      </w:r>
    </w:p>
    <w:p w14:paraId="46911879">
      <w:pPr>
        <w:spacing w:beforeLines="0" w:afterLines="0" w:line="560" w:lineRule="exact"/>
        <w:ind w:firstLine="596" w:firstLineChars="200"/>
        <w:rPr>
          <w:rFonts w:hint="default" w:eastAsia="仿宋_GB2312"/>
          <w:b w:val="0"/>
          <w:bCs w:val="0"/>
          <w:spacing w:val="-11"/>
          <w:sz w:val="32"/>
          <w:szCs w:val="32"/>
        </w:rPr>
      </w:pPr>
      <w:r>
        <w:rPr>
          <w:rFonts w:hint="eastAsia" w:eastAsia="楷体_GB2312"/>
          <w:b w:val="0"/>
          <w:bCs w:val="0"/>
          <w:spacing w:val="-11"/>
          <w:sz w:val="32"/>
          <w:szCs w:val="32"/>
        </w:rPr>
        <w:t>（四）推进商贸流通健康发展。</w:t>
      </w:r>
      <w:r>
        <w:rPr>
          <w:rFonts w:hint="eastAsia" w:ascii="Times New Roman" w:hAnsi="Times New Roman" w:eastAsia="仿宋_GB2312" w:cs="Times New Roman"/>
          <w:b w:val="0"/>
          <w:bCs w:val="0"/>
          <w:spacing w:val="-11"/>
          <w:sz w:val="32"/>
          <w:szCs w:val="32"/>
          <w:highlight w:val="none"/>
        </w:rPr>
        <w:t>共8个条目</w:t>
      </w:r>
      <w:r>
        <w:rPr>
          <w:rFonts w:hint="eastAsia" w:ascii="Times New Roman" w:hAnsi="Times New Roman" w:eastAsia="仿宋_GB2312" w:cs="Times New Roman"/>
          <w:b w:val="0"/>
          <w:bCs w:val="0"/>
          <w:spacing w:val="-11"/>
          <w:sz w:val="32"/>
          <w:szCs w:val="32"/>
          <w:highlight w:val="none"/>
          <w:lang w:eastAsia="zh-CN"/>
        </w:rPr>
        <w:t>，</w:t>
      </w:r>
      <w:r>
        <w:rPr>
          <w:rFonts w:hint="eastAsia" w:eastAsia="仿宋_GB2312"/>
          <w:b w:val="0"/>
          <w:bCs w:val="0"/>
          <w:spacing w:val="-11"/>
          <w:sz w:val="32"/>
          <w:szCs w:val="32"/>
        </w:rPr>
        <w:t>分别为支持商贸单位</w:t>
      </w:r>
      <w:r>
        <w:rPr>
          <w:rFonts w:hint="default" w:ascii="Times New Roman" w:hAnsi="Times New Roman" w:eastAsia="仿宋_GB2312" w:cs="Times New Roman"/>
          <w:b w:val="0"/>
          <w:bCs w:val="0"/>
          <w:spacing w:val="-11"/>
          <w:sz w:val="32"/>
          <w:szCs w:val="32"/>
          <w:lang w:eastAsia="zh-CN"/>
        </w:rPr>
        <w:t>“</w:t>
      </w:r>
      <w:r>
        <w:rPr>
          <w:rFonts w:hint="eastAsia" w:eastAsia="仿宋_GB2312"/>
          <w:b w:val="0"/>
          <w:bCs w:val="0"/>
          <w:spacing w:val="-11"/>
          <w:sz w:val="32"/>
          <w:szCs w:val="32"/>
        </w:rPr>
        <w:t>小进限</w:t>
      </w:r>
      <w:r>
        <w:rPr>
          <w:rFonts w:hint="eastAsia" w:eastAsia="仿宋_GB2312"/>
          <w:b w:val="0"/>
          <w:bCs w:val="0"/>
          <w:spacing w:val="-11"/>
          <w:sz w:val="32"/>
          <w:szCs w:val="32"/>
          <w:lang w:eastAsia="zh-CN"/>
        </w:rPr>
        <w:t>”</w:t>
      </w:r>
      <w:r>
        <w:rPr>
          <w:rFonts w:hint="eastAsia" w:eastAsia="仿宋_GB2312"/>
          <w:b w:val="0"/>
          <w:bCs w:val="0"/>
          <w:spacing w:val="-11"/>
          <w:sz w:val="32"/>
          <w:szCs w:val="32"/>
        </w:rPr>
        <w:t>，鼓励商贸载体招引品牌首店，大力发展首店首发经济，促进便民商业提升发展</w:t>
      </w:r>
      <w:r>
        <w:rPr>
          <w:rFonts w:hint="eastAsia" w:eastAsia="仿宋_GB2312"/>
          <w:b w:val="0"/>
          <w:bCs w:val="0"/>
          <w:spacing w:val="-11"/>
          <w:sz w:val="32"/>
          <w:szCs w:val="32"/>
          <w:lang w:eastAsia="zh-CN"/>
        </w:rPr>
        <w:t>、</w:t>
      </w:r>
      <w:r>
        <w:rPr>
          <w:rFonts w:hint="eastAsia" w:eastAsia="仿宋_GB2312"/>
          <w:b w:val="0"/>
          <w:bCs w:val="0"/>
          <w:spacing w:val="-11"/>
          <w:sz w:val="32"/>
          <w:szCs w:val="32"/>
        </w:rPr>
        <w:t>鼓励限上企业加快成长，支持开展消费促进活动，推进商贸业做优做强，支持商贸业提质创新。</w:t>
      </w:r>
    </w:p>
    <w:p w14:paraId="1AAC6186">
      <w:pPr>
        <w:keepNext w:val="0"/>
        <w:keepLines w:val="0"/>
        <w:pageBreakBefore w:val="0"/>
        <w:widowControl w:val="0"/>
        <w:kinsoku/>
        <w:wordWrap/>
        <w:overflowPunct/>
        <w:topLinePunct w:val="0"/>
        <w:autoSpaceDE/>
        <w:autoSpaceDN/>
        <w:bidi w:val="0"/>
        <w:spacing w:line="560" w:lineRule="exact"/>
        <w:ind w:firstLine="596" w:firstLineChars="200"/>
        <w:textAlignment w:val="auto"/>
        <w:rPr>
          <w:rFonts w:hint="eastAsia" w:ascii="Times New Roman" w:hAnsi="Times New Roman" w:eastAsia="仿宋_GB2312" w:cs="Times New Roman"/>
          <w:spacing w:val="-11"/>
          <w:sz w:val="32"/>
          <w:szCs w:val="32"/>
          <w:highlight w:val="none"/>
          <w:lang w:val="en-US" w:eastAsia="zh-CN"/>
        </w:rPr>
      </w:pPr>
      <w:r>
        <w:rPr>
          <w:rFonts w:hint="eastAsia" w:eastAsia="楷体_GB2312"/>
          <w:b w:val="0"/>
          <w:bCs w:val="0"/>
          <w:spacing w:val="-11"/>
          <w:sz w:val="32"/>
          <w:szCs w:val="32"/>
        </w:rPr>
        <w:t>（五）附则。</w:t>
      </w:r>
      <w:r>
        <w:rPr>
          <w:rFonts w:hint="eastAsia" w:ascii="Times New Roman" w:hAnsi="Times New Roman" w:eastAsia="仿宋_GB2312" w:cs="Times New Roman"/>
          <w:b w:val="0"/>
          <w:bCs w:val="0"/>
          <w:spacing w:val="-11"/>
          <w:sz w:val="32"/>
          <w:szCs w:val="32"/>
          <w:highlight w:val="none"/>
        </w:rPr>
        <w:t>共2个条目。明确了《措施》实施的起止日期，就高不重复申报原则以及资金兑付时区、镇分担比例。</w:t>
      </w:r>
    </w:p>
    <w:p w14:paraId="1089C2D2">
      <w:pPr>
        <w:jc w:val="center"/>
        <w:rPr>
          <w:rFonts w:hint="eastAsia" w:eastAsia="方正小标宋简体" w:cs="Times New Roman"/>
          <w:color w:val="000000"/>
          <w:spacing w:val="-11"/>
          <w:sz w:val="44"/>
          <w:szCs w:val="44"/>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2B537"/>
    <w:multiLevelType w:val="multilevel"/>
    <w:tmpl w:val="9E02B537"/>
    <w:lvl w:ilvl="0" w:tentative="0">
      <w:start w:val="1"/>
      <w:numFmt w:val="chineseCounting"/>
      <w:suff w:val="nothing"/>
      <w:lvlText w:val="（%1）"/>
      <w:lvlJc w:val="left"/>
      <w:rPr>
        <w:rFonts w:hint="eastAsia"/>
        <w:color w:val="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1">
    <w:nsid w:val="BBF72A3A"/>
    <w:multiLevelType w:val="singleLevel"/>
    <w:tmpl w:val="BBF72A3A"/>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C2CDB"/>
    <w:rsid w:val="01050F22"/>
    <w:rsid w:val="0119677B"/>
    <w:rsid w:val="018F6A3E"/>
    <w:rsid w:val="01DB6127"/>
    <w:rsid w:val="02380E83"/>
    <w:rsid w:val="02445A7A"/>
    <w:rsid w:val="027619AC"/>
    <w:rsid w:val="02777BFD"/>
    <w:rsid w:val="02B50726"/>
    <w:rsid w:val="02C1356F"/>
    <w:rsid w:val="02D52B76"/>
    <w:rsid w:val="03D90444"/>
    <w:rsid w:val="040C25C7"/>
    <w:rsid w:val="042711AF"/>
    <w:rsid w:val="04A40A52"/>
    <w:rsid w:val="04FA68C4"/>
    <w:rsid w:val="050E236F"/>
    <w:rsid w:val="050E411D"/>
    <w:rsid w:val="052B2F21"/>
    <w:rsid w:val="056401E1"/>
    <w:rsid w:val="07AA2823"/>
    <w:rsid w:val="08145EEF"/>
    <w:rsid w:val="0865499C"/>
    <w:rsid w:val="087921F6"/>
    <w:rsid w:val="08C571E9"/>
    <w:rsid w:val="08C6543B"/>
    <w:rsid w:val="08E9737B"/>
    <w:rsid w:val="08F0070A"/>
    <w:rsid w:val="0A3E54A5"/>
    <w:rsid w:val="0B642CE9"/>
    <w:rsid w:val="0BCB720C"/>
    <w:rsid w:val="0C8353F1"/>
    <w:rsid w:val="0C9D2956"/>
    <w:rsid w:val="0CB41A4E"/>
    <w:rsid w:val="0D1349C7"/>
    <w:rsid w:val="0D162709"/>
    <w:rsid w:val="0D215336"/>
    <w:rsid w:val="0E323572"/>
    <w:rsid w:val="0EAC50D3"/>
    <w:rsid w:val="0F0A1DF9"/>
    <w:rsid w:val="0F274759"/>
    <w:rsid w:val="0FDF6DE2"/>
    <w:rsid w:val="10352EA6"/>
    <w:rsid w:val="106317C1"/>
    <w:rsid w:val="108160EB"/>
    <w:rsid w:val="10C55FD8"/>
    <w:rsid w:val="110F7B9B"/>
    <w:rsid w:val="1142587A"/>
    <w:rsid w:val="121A05A5"/>
    <w:rsid w:val="122431D2"/>
    <w:rsid w:val="125C471A"/>
    <w:rsid w:val="12C50511"/>
    <w:rsid w:val="142851FC"/>
    <w:rsid w:val="14292D22"/>
    <w:rsid w:val="14D26F15"/>
    <w:rsid w:val="154A11A2"/>
    <w:rsid w:val="15F86E50"/>
    <w:rsid w:val="15FA6724"/>
    <w:rsid w:val="16007AB2"/>
    <w:rsid w:val="16225C7A"/>
    <w:rsid w:val="16526560"/>
    <w:rsid w:val="166938A9"/>
    <w:rsid w:val="169528F0"/>
    <w:rsid w:val="16A13043"/>
    <w:rsid w:val="16A36DBB"/>
    <w:rsid w:val="16E318AE"/>
    <w:rsid w:val="16F47617"/>
    <w:rsid w:val="175C6F6A"/>
    <w:rsid w:val="1763479D"/>
    <w:rsid w:val="18550589"/>
    <w:rsid w:val="188624F1"/>
    <w:rsid w:val="189C7F66"/>
    <w:rsid w:val="18ED431E"/>
    <w:rsid w:val="196D36B1"/>
    <w:rsid w:val="1A330456"/>
    <w:rsid w:val="1B0911B7"/>
    <w:rsid w:val="1BC82E20"/>
    <w:rsid w:val="1BF12377"/>
    <w:rsid w:val="1C93342E"/>
    <w:rsid w:val="1D020D68"/>
    <w:rsid w:val="1D532BBD"/>
    <w:rsid w:val="1DEF0B38"/>
    <w:rsid w:val="1E8F7C25"/>
    <w:rsid w:val="1ECF44C6"/>
    <w:rsid w:val="1F5E41C7"/>
    <w:rsid w:val="1F617814"/>
    <w:rsid w:val="1FB042F7"/>
    <w:rsid w:val="20370574"/>
    <w:rsid w:val="208732AA"/>
    <w:rsid w:val="21050673"/>
    <w:rsid w:val="22835CF3"/>
    <w:rsid w:val="239857CE"/>
    <w:rsid w:val="240B2444"/>
    <w:rsid w:val="256516E0"/>
    <w:rsid w:val="25F211C5"/>
    <w:rsid w:val="268D7140"/>
    <w:rsid w:val="27547C5E"/>
    <w:rsid w:val="27E70AD2"/>
    <w:rsid w:val="29017971"/>
    <w:rsid w:val="298C1931"/>
    <w:rsid w:val="2A070FB7"/>
    <w:rsid w:val="2A2E0C3A"/>
    <w:rsid w:val="2A946CEF"/>
    <w:rsid w:val="2AAB4039"/>
    <w:rsid w:val="2BBB64FD"/>
    <w:rsid w:val="2C163734"/>
    <w:rsid w:val="2C864D5D"/>
    <w:rsid w:val="2D99693C"/>
    <w:rsid w:val="2DAD1E76"/>
    <w:rsid w:val="2E312AA7"/>
    <w:rsid w:val="2F8A06C1"/>
    <w:rsid w:val="2FEE50F3"/>
    <w:rsid w:val="30073ABF"/>
    <w:rsid w:val="306B6744"/>
    <w:rsid w:val="306E1D90"/>
    <w:rsid w:val="31BE28A4"/>
    <w:rsid w:val="323B5CA2"/>
    <w:rsid w:val="33CC13C4"/>
    <w:rsid w:val="343926B5"/>
    <w:rsid w:val="35472BB0"/>
    <w:rsid w:val="36176A26"/>
    <w:rsid w:val="36633A19"/>
    <w:rsid w:val="36A24542"/>
    <w:rsid w:val="371D006C"/>
    <w:rsid w:val="379F0A81"/>
    <w:rsid w:val="37B22EAA"/>
    <w:rsid w:val="38341477"/>
    <w:rsid w:val="383C09C6"/>
    <w:rsid w:val="38575800"/>
    <w:rsid w:val="386A46AA"/>
    <w:rsid w:val="38AA5930"/>
    <w:rsid w:val="38DB01DF"/>
    <w:rsid w:val="390908A8"/>
    <w:rsid w:val="392C0A3B"/>
    <w:rsid w:val="39981C2C"/>
    <w:rsid w:val="3A086DB2"/>
    <w:rsid w:val="3A1514CF"/>
    <w:rsid w:val="3A99691A"/>
    <w:rsid w:val="3B712735"/>
    <w:rsid w:val="3B714E2B"/>
    <w:rsid w:val="3B912DD7"/>
    <w:rsid w:val="3BD056AD"/>
    <w:rsid w:val="3D136199"/>
    <w:rsid w:val="3D1617E6"/>
    <w:rsid w:val="3D2F0AF9"/>
    <w:rsid w:val="3D801355"/>
    <w:rsid w:val="3D803103"/>
    <w:rsid w:val="3DAE4551"/>
    <w:rsid w:val="3E7C38CA"/>
    <w:rsid w:val="3EC60FE9"/>
    <w:rsid w:val="40BE641C"/>
    <w:rsid w:val="40C33A32"/>
    <w:rsid w:val="412D35A2"/>
    <w:rsid w:val="415B010F"/>
    <w:rsid w:val="415B1EBD"/>
    <w:rsid w:val="417C1E33"/>
    <w:rsid w:val="41BE244C"/>
    <w:rsid w:val="41FF6CEC"/>
    <w:rsid w:val="42274495"/>
    <w:rsid w:val="426D634C"/>
    <w:rsid w:val="42A17DA3"/>
    <w:rsid w:val="4335673E"/>
    <w:rsid w:val="433E3844"/>
    <w:rsid w:val="436F7EA2"/>
    <w:rsid w:val="438374A9"/>
    <w:rsid w:val="43880F63"/>
    <w:rsid w:val="43F42155"/>
    <w:rsid w:val="44006D4C"/>
    <w:rsid w:val="44767252"/>
    <w:rsid w:val="447A08AC"/>
    <w:rsid w:val="449556E6"/>
    <w:rsid w:val="44F543D6"/>
    <w:rsid w:val="45A831F7"/>
    <w:rsid w:val="46024FFD"/>
    <w:rsid w:val="460743C1"/>
    <w:rsid w:val="461B7E6D"/>
    <w:rsid w:val="469519CD"/>
    <w:rsid w:val="474451A1"/>
    <w:rsid w:val="48111527"/>
    <w:rsid w:val="48E303B0"/>
    <w:rsid w:val="49641B2B"/>
    <w:rsid w:val="49973CAE"/>
    <w:rsid w:val="49B52386"/>
    <w:rsid w:val="4ABF1E1C"/>
    <w:rsid w:val="4AD60806"/>
    <w:rsid w:val="4C433C79"/>
    <w:rsid w:val="4C742085"/>
    <w:rsid w:val="4CC50B32"/>
    <w:rsid w:val="4D090A1F"/>
    <w:rsid w:val="4DD23507"/>
    <w:rsid w:val="4DE60D60"/>
    <w:rsid w:val="4E127DA7"/>
    <w:rsid w:val="4E9B1B4B"/>
    <w:rsid w:val="4F3124AF"/>
    <w:rsid w:val="4F952A3E"/>
    <w:rsid w:val="4FDA48F5"/>
    <w:rsid w:val="502D0EC8"/>
    <w:rsid w:val="50A76ECD"/>
    <w:rsid w:val="51055C38"/>
    <w:rsid w:val="51226553"/>
    <w:rsid w:val="51234079"/>
    <w:rsid w:val="514E10F6"/>
    <w:rsid w:val="51D13AD5"/>
    <w:rsid w:val="52075749"/>
    <w:rsid w:val="52481FEA"/>
    <w:rsid w:val="526037D7"/>
    <w:rsid w:val="54442C85"/>
    <w:rsid w:val="54907C78"/>
    <w:rsid w:val="55200FFC"/>
    <w:rsid w:val="55393E6B"/>
    <w:rsid w:val="555D2250"/>
    <w:rsid w:val="55BB2312"/>
    <w:rsid w:val="55F61D5C"/>
    <w:rsid w:val="569A4DDE"/>
    <w:rsid w:val="570A3D11"/>
    <w:rsid w:val="572648C3"/>
    <w:rsid w:val="580C6F3F"/>
    <w:rsid w:val="58944425"/>
    <w:rsid w:val="58C6010C"/>
    <w:rsid w:val="58CE0D6F"/>
    <w:rsid w:val="593F3A1A"/>
    <w:rsid w:val="595379CD"/>
    <w:rsid w:val="59866D86"/>
    <w:rsid w:val="59BB5797"/>
    <w:rsid w:val="5AE26D53"/>
    <w:rsid w:val="5AF947C9"/>
    <w:rsid w:val="5B152C85"/>
    <w:rsid w:val="5B484E08"/>
    <w:rsid w:val="5B527A35"/>
    <w:rsid w:val="5BA26C0E"/>
    <w:rsid w:val="5BAF30D9"/>
    <w:rsid w:val="5BC30933"/>
    <w:rsid w:val="5D5061F6"/>
    <w:rsid w:val="5DCA244C"/>
    <w:rsid w:val="5DE54B90"/>
    <w:rsid w:val="5F3062DF"/>
    <w:rsid w:val="5F592DFB"/>
    <w:rsid w:val="5F6917F1"/>
    <w:rsid w:val="5FB011CE"/>
    <w:rsid w:val="6105554A"/>
    <w:rsid w:val="61EB473F"/>
    <w:rsid w:val="623B56C7"/>
    <w:rsid w:val="62E96ED1"/>
    <w:rsid w:val="632919C3"/>
    <w:rsid w:val="636E5628"/>
    <w:rsid w:val="63A70B3A"/>
    <w:rsid w:val="63BC6393"/>
    <w:rsid w:val="63DA2CBD"/>
    <w:rsid w:val="646B1B68"/>
    <w:rsid w:val="648F5856"/>
    <w:rsid w:val="64C51278"/>
    <w:rsid w:val="655C6080"/>
    <w:rsid w:val="65A13A93"/>
    <w:rsid w:val="65B337C6"/>
    <w:rsid w:val="66546D57"/>
    <w:rsid w:val="673D3C8F"/>
    <w:rsid w:val="67AB345C"/>
    <w:rsid w:val="67B83316"/>
    <w:rsid w:val="67FF2CF3"/>
    <w:rsid w:val="681A5D7E"/>
    <w:rsid w:val="68863414"/>
    <w:rsid w:val="692C5D69"/>
    <w:rsid w:val="69563A03"/>
    <w:rsid w:val="697D65C5"/>
    <w:rsid w:val="6A097E59"/>
    <w:rsid w:val="6A325601"/>
    <w:rsid w:val="6A4E1D0F"/>
    <w:rsid w:val="6A902328"/>
    <w:rsid w:val="6B2D5DC9"/>
    <w:rsid w:val="6B3D24B0"/>
    <w:rsid w:val="6C450EF0"/>
    <w:rsid w:val="6C9360FF"/>
    <w:rsid w:val="6CD02EB0"/>
    <w:rsid w:val="6D0D1A0E"/>
    <w:rsid w:val="6D592EA5"/>
    <w:rsid w:val="6D8343C6"/>
    <w:rsid w:val="6EAB5982"/>
    <w:rsid w:val="6F773AB6"/>
    <w:rsid w:val="6FC0545D"/>
    <w:rsid w:val="6FF3138F"/>
    <w:rsid w:val="70D016D0"/>
    <w:rsid w:val="710B6BAC"/>
    <w:rsid w:val="71526589"/>
    <w:rsid w:val="71A32941"/>
    <w:rsid w:val="71AF7537"/>
    <w:rsid w:val="71D451F0"/>
    <w:rsid w:val="72CA27FF"/>
    <w:rsid w:val="72E27499"/>
    <w:rsid w:val="73A62BBC"/>
    <w:rsid w:val="73F90F3E"/>
    <w:rsid w:val="74122000"/>
    <w:rsid w:val="74AF784E"/>
    <w:rsid w:val="74F6547D"/>
    <w:rsid w:val="74FD4A5E"/>
    <w:rsid w:val="750A2CD7"/>
    <w:rsid w:val="75954C96"/>
    <w:rsid w:val="75BE7B66"/>
    <w:rsid w:val="764C17F9"/>
    <w:rsid w:val="77E43CB3"/>
    <w:rsid w:val="78C22246"/>
    <w:rsid w:val="796230E1"/>
    <w:rsid w:val="79BD47BC"/>
    <w:rsid w:val="7A8A0B42"/>
    <w:rsid w:val="7ACD6C80"/>
    <w:rsid w:val="7AF4245F"/>
    <w:rsid w:val="7C02295A"/>
    <w:rsid w:val="7CC12815"/>
    <w:rsid w:val="7CDE6F23"/>
    <w:rsid w:val="7D140B97"/>
    <w:rsid w:val="7D407BDD"/>
    <w:rsid w:val="7D5B0573"/>
    <w:rsid w:val="7DAB14FB"/>
    <w:rsid w:val="7EDC1B88"/>
    <w:rsid w:val="7EF96296"/>
    <w:rsid w:val="7F233313"/>
    <w:rsid w:val="7FC9210C"/>
    <w:rsid w:val="7FF8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1425</Words>
  <Characters>1440</Characters>
  <Lines>0</Lines>
  <Paragraphs>0</Paragraphs>
  <TotalTime>1</TotalTime>
  <ScaleCrop>false</ScaleCrop>
  <LinksUpToDate>false</LinksUpToDate>
  <CharactersWithSpaces>1445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2025-09-17T07:00:00Z</dcterms:created>
  <dc:creator>Administrator</dc:creator>
  <cp:lastModifiedBy>Gypso</cp:lastModifiedBy>
  <dcterms:modified xsi:type="dcterms:W3CDTF">2025-09-17T08:58:17Z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eyJoZGlkIjoiNDI1OTM0MGFlODE5YWNmZTBkZThkNDBlYjM4ZmIxNzIiLCJ1c2VySWQiOiI3ODM1Mzk5OTMifQ==</vt:lpwstr>
  </property>
  <property fmtid="{D5CDD505-2E9C-101B-9397-08002B2CF9AE}" pid="4" name="ICV">
    <vt:lpwstr>111CAA97A1D747D8A1BE6F9BDA574680_12</vt:lpwstr>
  </property>
</Properties>
</file>