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C898F">
      <w:pPr>
        <w:spacing w:line="263" w:lineRule="auto"/>
        <w:rPr>
          <w:rFonts w:ascii="Arial"/>
          <w:sz w:val="21"/>
        </w:rPr>
      </w:pPr>
    </w:p>
    <w:p w14:paraId="275C2652">
      <w:pPr>
        <w:spacing w:before="167" w:line="195" w:lineRule="auto"/>
        <w:outlineLvl w:val="0"/>
        <w:rPr>
          <w:rFonts w:ascii="方正小标宋_GBK" w:hAnsi="方正小标宋_GBK" w:eastAsia="方正小标宋_GBK" w:cs="方正小标宋_GBK"/>
          <w:sz w:val="43"/>
          <w:szCs w:val="43"/>
        </w:rPr>
      </w:pPr>
      <w:r>
        <w:rPr>
          <w:rFonts w:ascii="方正小标宋_GBK" w:hAnsi="方正小标宋_GBK" w:eastAsia="方正小标宋_GBK" w:cs="方正小标宋_GBK"/>
          <w:spacing w:val="5"/>
          <w:sz w:val="43"/>
          <w:szCs w:val="43"/>
        </w:rPr>
        <w:t>市政府关于印发苏州市发展保障性租赁住房</w:t>
      </w:r>
    </w:p>
    <w:p w14:paraId="4F0E0098">
      <w:pPr>
        <w:spacing w:before="1" w:line="234" w:lineRule="auto"/>
        <w:ind w:left="2941"/>
        <w:outlineLvl w:val="0"/>
        <w:rPr>
          <w:rFonts w:hint="eastAsia" w:ascii="方正小标宋_GBK" w:hAnsi="方正小标宋_GBK" w:eastAsia="方正小标宋_GBK" w:cs="方正小标宋_GBK"/>
          <w:spacing w:val="5"/>
          <w:sz w:val="43"/>
          <w:szCs w:val="43"/>
          <w:lang w:val="en-US" w:eastAsia="zh-CN"/>
        </w:rPr>
      </w:pPr>
      <w:r>
        <w:rPr>
          <w:rFonts w:ascii="方正小标宋_GBK" w:hAnsi="方正小标宋_GBK" w:eastAsia="方正小标宋_GBK" w:cs="方正小标宋_GBK"/>
          <w:spacing w:val="5"/>
          <w:sz w:val="43"/>
          <w:szCs w:val="43"/>
        </w:rPr>
        <w:t>实施办法的通知</w:t>
      </w:r>
      <w:r>
        <w:rPr>
          <w:rFonts w:hint="eastAsia" w:ascii="方正小标宋_GBK" w:hAnsi="方正小标宋_GBK" w:eastAsia="方正小标宋_GBK" w:cs="方正小标宋_GBK"/>
          <w:spacing w:val="5"/>
          <w:sz w:val="43"/>
          <w:szCs w:val="43"/>
          <w:lang w:val="en-US" w:eastAsia="zh-CN"/>
        </w:rPr>
        <w:t xml:space="preserve"> </w:t>
      </w:r>
    </w:p>
    <w:p w14:paraId="4A37F763">
      <w:pPr>
        <w:pStyle w:val="2"/>
        <w:spacing w:before="100" w:line="221" w:lineRule="auto"/>
        <w:ind w:left="2868"/>
        <w:rPr>
          <w:sz w:val="28"/>
          <w:szCs w:val="28"/>
        </w:rPr>
      </w:pPr>
      <w:r>
        <w:rPr>
          <w:spacing w:val="1"/>
          <w:sz w:val="28"/>
          <w:szCs w:val="28"/>
        </w:rPr>
        <w:t>苏府规字〔2025〕15</w:t>
      </w:r>
      <w:r>
        <w:rPr>
          <w:spacing w:val="-42"/>
          <w:sz w:val="28"/>
          <w:szCs w:val="28"/>
        </w:rPr>
        <w:t xml:space="preserve"> </w:t>
      </w:r>
      <w:r>
        <w:rPr>
          <w:spacing w:val="1"/>
          <w:sz w:val="28"/>
          <w:szCs w:val="28"/>
        </w:rPr>
        <w:t>号</w:t>
      </w:r>
    </w:p>
    <w:p w14:paraId="32A91DF1">
      <w:pPr>
        <w:spacing w:line="451" w:lineRule="auto"/>
        <w:rPr>
          <w:rFonts w:ascii="Arial"/>
          <w:sz w:val="21"/>
        </w:rPr>
      </w:pPr>
    </w:p>
    <w:p w14:paraId="03D31208">
      <w:pPr>
        <w:pStyle w:val="2"/>
        <w:spacing w:before="102" w:line="321" w:lineRule="auto"/>
        <w:ind w:left="103" w:right="18" w:hanging="58"/>
      </w:pPr>
      <w:r>
        <w:rPr>
          <w:spacing w:val="5"/>
        </w:rPr>
        <w:t>各县级市（区）人民政府，苏州工业园区、苏州高新区、太仓港</w:t>
      </w:r>
      <w:r>
        <w:rPr>
          <w:spacing w:val="1"/>
        </w:rPr>
        <w:t>口管委会；市各委办局，各直属单位：</w:t>
      </w:r>
    </w:p>
    <w:p w14:paraId="562AB71E">
      <w:pPr>
        <w:pStyle w:val="2"/>
        <w:spacing w:before="7" w:line="323" w:lineRule="auto"/>
        <w:ind w:left="56" w:right="20" w:firstLine="613"/>
        <w:jc w:val="both"/>
      </w:pPr>
      <w:r>
        <w:rPr>
          <w:spacing w:val="8"/>
        </w:rPr>
        <w:t>《苏州市发展保障性租赁住房实施办法》</w:t>
      </w:r>
      <w:r>
        <w:rPr>
          <w:spacing w:val="-66"/>
        </w:rPr>
        <w:t xml:space="preserve"> </w:t>
      </w:r>
      <w:r>
        <w:rPr>
          <w:spacing w:val="8"/>
        </w:rPr>
        <w:t>已经市政府第 91</w:t>
      </w:r>
      <w:r>
        <w:rPr>
          <w:spacing w:val="5"/>
        </w:rPr>
        <w:t>次常务会议审议通过，现印发给你们，请结合实际，认真贯彻落</w:t>
      </w:r>
      <w:r>
        <w:rPr>
          <w:spacing w:val="-19"/>
        </w:rPr>
        <w:t>实。</w:t>
      </w:r>
    </w:p>
    <w:p w14:paraId="48965F02">
      <w:pPr>
        <w:spacing w:line="438" w:lineRule="auto"/>
        <w:rPr>
          <w:rFonts w:ascii="Arial"/>
          <w:sz w:val="21"/>
        </w:rPr>
      </w:pPr>
    </w:p>
    <w:p w14:paraId="11641DA8">
      <w:pPr>
        <w:pStyle w:val="2"/>
        <w:spacing w:before="101" w:line="220" w:lineRule="auto"/>
        <w:ind w:left="5340"/>
      </w:pPr>
      <w:r>
        <w:rPr>
          <w:spacing w:val="2"/>
        </w:rPr>
        <w:t>苏州市人民政府</w:t>
      </w:r>
    </w:p>
    <w:p w14:paraId="3FA87A2A">
      <w:pPr>
        <w:pStyle w:val="2"/>
        <w:spacing w:before="171" w:line="221" w:lineRule="auto"/>
        <w:ind w:left="5352"/>
      </w:pPr>
      <w:r>
        <w:rPr>
          <w:spacing w:val="-9"/>
        </w:rPr>
        <w:t>2025</w:t>
      </w:r>
      <w:r>
        <w:rPr>
          <w:spacing w:val="-64"/>
        </w:rPr>
        <w:t xml:space="preserve"> </w:t>
      </w:r>
      <w:r>
        <w:rPr>
          <w:spacing w:val="-9"/>
        </w:rPr>
        <w:t>年</w:t>
      </w:r>
      <w:r>
        <w:rPr>
          <w:spacing w:val="-51"/>
        </w:rPr>
        <w:t xml:space="preserve"> </w:t>
      </w:r>
      <w:r>
        <w:rPr>
          <w:spacing w:val="-9"/>
        </w:rPr>
        <w:t>9</w:t>
      </w:r>
      <w:r>
        <w:rPr>
          <w:spacing w:val="-50"/>
        </w:rPr>
        <w:t xml:space="preserve"> </w:t>
      </w:r>
      <w:r>
        <w:rPr>
          <w:spacing w:val="-9"/>
        </w:rPr>
        <w:t>月</w:t>
      </w:r>
      <w:r>
        <w:rPr>
          <w:spacing w:val="-48"/>
        </w:rPr>
        <w:t xml:space="preserve"> </w:t>
      </w:r>
      <w:r>
        <w:rPr>
          <w:spacing w:val="-9"/>
        </w:rPr>
        <w:t>7 日</w:t>
      </w:r>
    </w:p>
    <w:p w14:paraId="023D75FD">
      <w:pPr>
        <w:pStyle w:val="2"/>
        <w:spacing w:before="170" w:line="220" w:lineRule="auto"/>
        <w:ind w:left="670"/>
      </w:pPr>
      <w:r>
        <w:rPr>
          <w:spacing w:val="5"/>
        </w:rPr>
        <w:t>（此件公开发布）</w:t>
      </w:r>
    </w:p>
    <w:p w14:paraId="45E6A46C">
      <w:pPr>
        <w:spacing w:line="220" w:lineRule="auto"/>
        <w:sectPr>
          <w:footerReference r:id="rId5" w:type="default"/>
          <w:pgSz w:w="11907" w:h="16839"/>
          <w:pgMar w:top="1431" w:right="1450" w:bottom="1842" w:left="1555" w:header="0" w:footer="1475" w:gutter="0"/>
          <w:cols w:space="720" w:num="1"/>
        </w:sectPr>
      </w:pPr>
    </w:p>
    <w:p w14:paraId="10D5EFF0">
      <w:pPr>
        <w:spacing w:line="254" w:lineRule="auto"/>
        <w:rPr>
          <w:rFonts w:ascii="Arial"/>
          <w:sz w:val="21"/>
        </w:rPr>
      </w:pPr>
    </w:p>
    <w:p w14:paraId="65E54ADF">
      <w:pPr>
        <w:spacing w:line="255" w:lineRule="auto"/>
        <w:rPr>
          <w:rFonts w:ascii="Arial"/>
          <w:sz w:val="21"/>
        </w:rPr>
      </w:pPr>
    </w:p>
    <w:p w14:paraId="508CEFCE">
      <w:pPr>
        <w:spacing w:before="167" w:line="234" w:lineRule="auto"/>
        <w:ind w:left="928"/>
        <w:outlineLvl w:val="0"/>
        <w:rPr>
          <w:rFonts w:ascii="方正小标宋_GBK" w:hAnsi="方正小标宋_GBK" w:eastAsia="方正小标宋_GBK" w:cs="方正小标宋_GBK"/>
          <w:sz w:val="43"/>
          <w:szCs w:val="43"/>
        </w:rPr>
      </w:pPr>
      <w:r>
        <w:rPr>
          <w:rFonts w:ascii="方正小标宋_GBK" w:hAnsi="方正小标宋_GBK" w:eastAsia="方正小标宋_GBK" w:cs="方正小标宋_GBK"/>
          <w:spacing w:val="5"/>
          <w:sz w:val="43"/>
          <w:szCs w:val="43"/>
        </w:rPr>
        <w:t>苏州市发展保障性租赁住房实施办法</w:t>
      </w:r>
    </w:p>
    <w:p w14:paraId="2E6282C1">
      <w:pPr>
        <w:spacing w:line="253" w:lineRule="auto"/>
        <w:rPr>
          <w:rFonts w:ascii="Arial"/>
          <w:sz w:val="21"/>
        </w:rPr>
      </w:pPr>
    </w:p>
    <w:p w14:paraId="4CE94364">
      <w:pPr>
        <w:spacing w:line="254" w:lineRule="auto"/>
        <w:rPr>
          <w:rFonts w:ascii="Arial"/>
          <w:sz w:val="21"/>
        </w:rPr>
      </w:pPr>
    </w:p>
    <w:p w14:paraId="5C3B8E63">
      <w:pPr>
        <w:spacing w:line="254" w:lineRule="auto"/>
        <w:rPr>
          <w:rFonts w:ascii="Arial"/>
          <w:sz w:val="21"/>
        </w:rPr>
      </w:pPr>
    </w:p>
    <w:p w14:paraId="2A8DB387">
      <w:pPr>
        <w:spacing w:before="100" w:line="224" w:lineRule="auto"/>
        <w:ind w:left="3319"/>
        <w:outlineLvl w:val="2"/>
        <w:rPr>
          <w:rFonts w:ascii="黑体" w:hAnsi="黑体" w:eastAsia="黑体" w:cs="黑体"/>
          <w:sz w:val="31"/>
          <w:szCs w:val="31"/>
        </w:rPr>
      </w:pPr>
      <w:r>
        <w:rPr>
          <w:rFonts w:ascii="黑体" w:hAnsi="黑体" w:eastAsia="黑体" w:cs="黑体"/>
          <w:spacing w:val="2"/>
          <w:sz w:val="31"/>
          <w:szCs w:val="31"/>
        </w:rPr>
        <w:t>第一章</w:t>
      </w:r>
      <w:r>
        <w:rPr>
          <w:rFonts w:ascii="黑体" w:hAnsi="黑体" w:eastAsia="黑体" w:cs="黑体"/>
          <w:spacing w:val="10"/>
          <w:sz w:val="31"/>
          <w:szCs w:val="31"/>
        </w:rPr>
        <w:t xml:space="preserve">  </w:t>
      </w:r>
      <w:r>
        <w:rPr>
          <w:rFonts w:ascii="黑体" w:hAnsi="黑体" w:eastAsia="黑体" w:cs="黑体"/>
          <w:spacing w:val="2"/>
          <w:sz w:val="31"/>
          <w:szCs w:val="31"/>
        </w:rPr>
        <w:t>总  则</w:t>
      </w:r>
    </w:p>
    <w:p w14:paraId="13548D6A">
      <w:pPr>
        <w:spacing w:line="390" w:lineRule="auto"/>
        <w:rPr>
          <w:rFonts w:ascii="Arial"/>
          <w:sz w:val="21"/>
        </w:rPr>
      </w:pPr>
    </w:p>
    <w:p w14:paraId="0F3CF014">
      <w:pPr>
        <w:pStyle w:val="2"/>
        <w:spacing w:before="101" w:line="326" w:lineRule="auto"/>
        <w:ind w:left="6" w:right="248" w:firstLine="627"/>
      </w:pPr>
      <w:r>
        <w:rPr>
          <w:rFonts w:ascii="黑体" w:hAnsi="黑体" w:eastAsia="黑体" w:cs="黑体"/>
          <w:spacing w:val="5"/>
        </w:rPr>
        <w:t xml:space="preserve">第一条  </w:t>
      </w:r>
      <w:r>
        <w:rPr>
          <w:spacing w:val="5"/>
        </w:rPr>
        <w:t>为加快建立多主体供给、多渠道保障、租购并举的住房制度，有效增加保障性租赁住房供给，着力缓解新市民、青年人等群体住房困难，根据《国务院办公厅关于加快发展保障性</w:t>
      </w:r>
      <w:r>
        <w:rPr>
          <w:spacing w:val="1"/>
        </w:rPr>
        <w:t>租赁住房的意见》（国办发〔2021〕22</w:t>
      </w:r>
      <w:r>
        <w:rPr>
          <w:spacing w:val="-35"/>
        </w:rPr>
        <w:t xml:space="preserve"> </w:t>
      </w:r>
      <w:r>
        <w:rPr>
          <w:spacing w:val="1"/>
        </w:rPr>
        <w:t>号）、《省政府办公厅关</w:t>
      </w:r>
      <w:r>
        <w:t>于加快发展保障性租赁住房的实施意见》（苏政办发〔2021</w:t>
      </w:r>
      <w:r>
        <w:rPr>
          <w:spacing w:val="-1"/>
        </w:rPr>
        <w:t>〕101</w:t>
      </w:r>
      <w:r>
        <w:rPr>
          <w:spacing w:val="4"/>
        </w:rPr>
        <w:t>号）等文件精神，结合我市实际，制定本办法。</w:t>
      </w:r>
    </w:p>
    <w:p w14:paraId="36285CC2">
      <w:pPr>
        <w:pStyle w:val="2"/>
        <w:spacing w:before="210" w:line="284" w:lineRule="auto"/>
        <w:ind w:right="257" w:firstLine="633"/>
      </w:pPr>
      <w:r>
        <w:rPr>
          <w:rFonts w:ascii="黑体" w:hAnsi="黑体" w:eastAsia="黑体" w:cs="黑体"/>
          <w:spacing w:val="17"/>
        </w:rPr>
        <w:t xml:space="preserve">第二条  </w:t>
      </w:r>
      <w:r>
        <w:rPr>
          <w:spacing w:val="17"/>
        </w:rPr>
        <w:t>本办法适用于本市行政区域内保障性租赁住房的</w:t>
      </w:r>
      <w:r>
        <w:rPr>
          <w:spacing w:val="4"/>
        </w:rPr>
        <w:t>建设、筹集和监督管理。</w:t>
      </w:r>
    </w:p>
    <w:p w14:paraId="3260A727">
      <w:pPr>
        <w:pStyle w:val="2"/>
        <w:spacing w:before="209" w:line="316" w:lineRule="auto"/>
        <w:ind w:left="2" w:firstLine="631"/>
      </w:pPr>
      <w:r>
        <w:rPr>
          <w:rFonts w:ascii="黑体" w:hAnsi="黑体" w:eastAsia="黑体" w:cs="黑体"/>
          <w:spacing w:val="3"/>
        </w:rPr>
        <w:t xml:space="preserve">第三条  </w:t>
      </w:r>
      <w:r>
        <w:rPr>
          <w:spacing w:val="3"/>
        </w:rPr>
        <w:t>本办法所称保障性租赁住房，是指由政府给予土地、</w:t>
      </w:r>
      <w:r>
        <w:rPr>
          <w:spacing w:val="5"/>
        </w:rPr>
        <w:t>财税、金融等政策支持，多主体投资、多渠道供给，主要面向在本市无房的新市民、青年人等群体供应的小户型、低租金的租赁</w:t>
      </w:r>
      <w:r>
        <w:rPr>
          <w:spacing w:val="-14"/>
        </w:rPr>
        <w:t>住房。</w:t>
      </w:r>
    </w:p>
    <w:p w14:paraId="6E12A66E">
      <w:pPr>
        <w:pStyle w:val="2"/>
        <w:spacing w:before="210" w:line="346" w:lineRule="auto"/>
        <w:ind w:left="7" w:right="251" w:firstLine="631"/>
        <w:jc w:val="both"/>
      </w:pPr>
      <w:r>
        <w:rPr>
          <w:spacing w:val="5"/>
        </w:rPr>
        <w:t>新市民、青年人等群体中符合人才标准的，按照《关于加强苏州市人才租赁住房保障工作的若干意见》（苏委办〔</w:t>
      </w:r>
      <w:r>
        <w:rPr>
          <w:spacing w:val="4"/>
        </w:rPr>
        <w:t>2021〕55</w:t>
      </w:r>
      <w:r>
        <w:rPr>
          <w:spacing w:val="5"/>
        </w:rPr>
        <w:t>号）实施保障；产业园区配套比例提升建设的保障性租赁住房优先保障产业园区内工人群体。保障性租赁住房不设收入线门槛，</w:t>
      </w:r>
      <w:r>
        <w:rPr>
          <w:spacing w:val="4"/>
        </w:rPr>
        <w:t>可以采用配租或者租赁补贴方式予以保障。</w:t>
      </w:r>
    </w:p>
    <w:p w14:paraId="09756A88">
      <w:pPr>
        <w:pStyle w:val="2"/>
        <w:spacing w:before="4" w:line="220" w:lineRule="auto"/>
        <w:ind w:left="648"/>
      </w:pPr>
      <w:r>
        <w:rPr>
          <w:spacing w:val="5"/>
        </w:rPr>
        <w:t>户籍中等偏低收入以下住房困难家庭，可以采</w:t>
      </w:r>
      <w:r>
        <w:rPr>
          <w:spacing w:val="4"/>
        </w:rPr>
        <w:t>取公共租赁住</w:t>
      </w:r>
    </w:p>
    <w:p w14:paraId="733C83DA">
      <w:pPr>
        <w:spacing w:line="220" w:lineRule="auto"/>
        <w:sectPr>
          <w:footerReference r:id="rId6" w:type="default"/>
          <w:pgSz w:w="11907" w:h="16839"/>
          <w:pgMar w:top="1431" w:right="1334" w:bottom="1842" w:left="1483" w:header="0" w:footer="1475" w:gutter="0"/>
          <w:cols w:space="720" w:num="1"/>
        </w:sectPr>
      </w:pPr>
    </w:p>
    <w:p w14:paraId="5393B145">
      <w:pPr>
        <w:spacing w:line="318" w:lineRule="auto"/>
        <w:rPr>
          <w:rFonts w:ascii="Arial"/>
          <w:sz w:val="21"/>
        </w:rPr>
      </w:pPr>
    </w:p>
    <w:p w14:paraId="080F88FE">
      <w:pPr>
        <w:spacing w:line="318" w:lineRule="auto"/>
        <w:rPr>
          <w:rFonts w:ascii="Arial"/>
          <w:sz w:val="21"/>
        </w:rPr>
      </w:pPr>
    </w:p>
    <w:p w14:paraId="6B2724D6">
      <w:pPr>
        <w:pStyle w:val="2"/>
        <w:spacing w:before="100" w:line="222" w:lineRule="auto"/>
        <w:ind w:left="15"/>
      </w:pPr>
      <w:r>
        <w:rPr>
          <w:spacing w:val="4"/>
        </w:rPr>
        <w:t>房实物配租或货币化补贴的方式予以保障。</w:t>
      </w:r>
    </w:p>
    <w:p w14:paraId="2FFB26CA">
      <w:pPr>
        <w:pStyle w:val="2"/>
        <w:spacing w:before="210" w:line="345" w:lineRule="auto"/>
        <w:ind w:left="7" w:right="62" w:firstLine="631"/>
      </w:pPr>
      <w:r>
        <w:rPr>
          <w:spacing w:val="5"/>
        </w:rPr>
        <w:t>本条第一款所称无房，是指本人、配偶及未成年子女在本市</w:t>
      </w:r>
      <w:r>
        <w:rPr>
          <w:spacing w:val="2"/>
        </w:rPr>
        <w:t>行政区域范围内名下无自有产权住房。</w:t>
      </w:r>
    </w:p>
    <w:p w14:paraId="6D68FD66">
      <w:pPr>
        <w:pStyle w:val="2"/>
        <w:spacing w:before="6" w:line="315" w:lineRule="auto"/>
        <w:ind w:left="15" w:right="62" w:firstLine="623"/>
      </w:pPr>
      <w:r>
        <w:rPr>
          <w:rFonts w:ascii="黑体" w:hAnsi="黑体" w:eastAsia="黑体" w:cs="黑体"/>
          <w:spacing w:val="5"/>
        </w:rPr>
        <w:t xml:space="preserve">第四条  </w:t>
      </w:r>
      <w:r>
        <w:rPr>
          <w:spacing w:val="5"/>
        </w:rPr>
        <w:t>认真践行“人民城市人民建，人民城市为人民”重要理念，按照“政府引导、市场运作”原则，市县（区）联</w:t>
      </w:r>
      <w:r>
        <w:rPr>
          <w:spacing w:val="4"/>
        </w:rPr>
        <w:t>动，</w:t>
      </w:r>
      <w:r>
        <w:rPr>
          <w:spacing w:val="5"/>
        </w:rPr>
        <w:t>强化顶层设计、规划引领、精细管理，加强供需两端分析，确保</w:t>
      </w:r>
      <w:r>
        <w:rPr>
          <w:spacing w:val="3"/>
        </w:rPr>
        <w:t>房地产市场健康平稳发展。</w:t>
      </w:r>
    </w:p>
    <w:p w14:paraId="010825AC">
      <w:pPr>
        <w:pStyle w:val="2"/>
        <w:spacing w:before="211" w:line="283" w:lineRule="auto"/>
        <w:ind w:left="11" w:right="66" w:firstLine="627"/>
      </w:pPr>
      <w:r>
        <w:rPr>
          <w:rFonts w:ascii="黑体" w:hAnsi="黑体" w:eastAsia="黑体" w:cs="黑体"/>
          <w:spacing w:val="17"/>
        </w:rPr>
        <w:t xml:space="preserve">第五条  </w:t>
      </w:r>
      <w:r>
        <w:rPr>
          <w:spacing w:val="17"/>
        </w:rPr>
        <w:t>市住房和城乡建设部门会同市相关部门负责统筹</w:t>
      </w:r>
      <w:r>
        <w:rPr>
          <w:spacing w:val="5"/>
        </w:rPr>
        <w:t>指导、协调推进全市保障性租赁住房工作。主要职责为：</w:t>
      </w:r>
    </w:p>
    <w:p w14:paraId="391FCCC2">
      <w:pPr>
        <w:pStyle w:val="2"/>
        <w:spacing w:before="213" w:line="220" w:lineRule="auto"/>
        <w:ind w:left="631"/>
      </w:pPr>
      <w:r>
        <w:rPr>
          <w:spacing w:val="5"/>
        </w:rPr>
        <w:t>（一）研究、制定保障性租赁住房重大政策；</w:t>
      </w:r>
    </w:p>
    <w:p w14:paraId="7693A4A5">
      <w:pPr>
        <w:pStyle w:val="2"/>
        <w:spacing w:before="212" w:line="220" w:lineRule="auto"/>
        <w:jc w:val="right"/>
      </w:pPr>
      <w:r>
        <w:rPr>
          <w:spacing w:val="8"/>
        </w:rPr>
        <w:t>（二）研究、审议保障性租赁住房工作推进中的重大事项；</w:t>
      </w:r>
    </w:p>
    <w:p w14:paraId="6BEAC5D6">
      <w:pPr>
        <w:pStyle w:val="2"/>
        <w:spacing w:before="214" w:line="220" w:lineRule="auto"/>
        <w:ind w:left="631"/>
      </w:pPr>
      <w:r>
        <w:rPr>
          <w:spacing w:val="5"/>
        </w:rPr>
        <w:t>（三）承办市委、市政府交办的其他工作。</w:t>
      </w:r>
    </w:p>
    <w:p w14:paraId="10BD7929">
      <w:pPr>
        <w:pStyle w:val="2"/>
        <w:spacing w:before="210" w:line="284" w:lineRule="auto"/>
        <w:ind w:left="21" w:right="66" w:firstLine="617"/>
      </w:pPr>
      <w:r>
        <w:rPr>
          <w:rFonts w:ascii="黑体" w:hAnsi="黑体" w:eastAsia="黑体" w:cs="黑体"/>
          <w:spacing w:val="17"/>
        </w:rPr>
        <w:t xml:space="preserve">第六条  </w:t>
      </w:r>
      <w:r>
        <w:rPr>
          <w:spacing w:val="17"/>
        </w:rPr>
        <w:t>市住房和城乡建设部门会同市相关部门根据各自</w:t>
      </w:r>
      <w:r>
        <w:rPr>
          <w:spacing w:val="4"/>
        </w:rPr>
        <w:t>职责做好发展保障性租赁住房相关工作。</w:t>
      </w:r>
    </w:p>
    <w:p w14:paraId="57CB62AF">
      <w:pPr>
        <w:pStyle w:val="2"/>
        <w:spacing w:before="210" w:line="306" w:lineRule="auto"/>
        <w:ind w:right="62" w:firstLine="638"/>
      </w:pPr>
      <w:r>
        <w:rPr>
          <w:rFonts w:ascii="黑体" w:hAnsi="黑体" w:eastAsia="黑体" w:cs="黑体"/>
          <w:spacing w:val="5"/>
        </w:rPr>
        <w:t xml:space="preserve">第七条  </w:t>
      </w:r>
      <w:r>
        <w:rPr>
          <w:spacing w:val="5"/>
        </w:rPr>
        <w:t>各县级市（区）住房和城乡建设部门会同各县级市（区）相关部门负责本行政区域内保障性租赁住房建设及管理工</w:t>
      </w:r>
      <w:r>
        <w:rPr>
          <w:spacing w:val="-15"/>
        </w:rPr>
        <w:t>作。</w:t>
      </w:r>
    </w:p>
    <w:p w14:paraId="3BAD05AE">
      <w:pPr>
        <w:spacing w:line="394" w:lineRule="auto"/>
        <w:rPr>
          <w:rFonts w:ascii="Arial"/>
          <w:sz w:val="21"/>
        </w:rPr>
      </w:pPr>
    </w:p>
    <w:p w14:paraId="15A6841D">
      <w:pPr>
        <w:spacing w:before="102" w:line="223" w:lineRule="auto"/>
        <w:ind w:left="3166"/>
        <w:outlineLvl w:val="2"/>
        <w:rPr>
          <w:rFonts w:ascii="黑体" w:hAnsi="黑体" w:eastAsia="黑体" w:cs="黑体"/>
          <w:sz w:val="31"/>
          <w:szCs w:val="31"/>
        </w:rPr>
      </w:pPr>
      <w:r>
        <w:rPr>
          <w:rFonts w:ascii="黑体" w:hAnsi="黑体" w:eastAsia="黑体" w:cs="黑体"/>
          <w:spacing w:val="4"/>
          <w:sz w:val="31"/>
          <w:szCs w:val="31"/>
        </w:rPr>
        <w:t>第二章  房源筹建</w:t>
      </w:r>
    </w:p>
    <w:p w14:paraId="2658CDBC">
      <w:pPr>
        <w:spacing w:line="396" w:lineRule="auto"/>
        <w:rPr>
          <w:rFonts w:ascii="Arial"/>
          <w:sz w:val="21"/>
        </w:rPr>
      </w:pPr>
    </w:p>
    <w:p w14:paraId="052B1B20">
      <w:pPr>
        <w:pStyle w:val="2"/>
        <w:spacing w:before="101" w:line="346" w:lineRule="auto"/>
        <w:ind w:left="4" w:right="62" w:firstLine="634"/>
      </w:pPr>
      <w:r>
        <w:rPr>
          <w:rFonts w:ascii="黑体" w:hAnsi="黑体" w:eastAsia="黑体" w:cs="黑体"/>
          <w:spacing w:val="5"/>
        </w:rPr>
        <w:t xml:space="preserve">第八条  </w:t>
      </w:r>
      <w:r>
        <w:rPr>
          <w:spacing w:val="5"/>
        </w:rPr>
        <w:t>保障性租赁住房的房源筹集主要通过新建、改建和</w:t>
      </w:r>
      <w:r>
        <w:rPr>
          <w:spacing w:val="4"/>
        </w:rPr>
        <w:t>存量纳入三种方式。</w:t>
      </w:r>
    </w:p>
    <w:p w14:paraId="605778E9">
      <w:pPr>
        <w:pStyle w:val="2"/>
        <w:spacing w:before="1" w:line="220" w:lineRule="auto"/>
        <w:ind w:right="15"/>
        <w:jc w:val="right"/>
      </w:pPr>
      <w:r>
        <w:rPr>
          <w:spacing w:val="7"/>
        </w:rPr>
        <w:t>新建是指利用产业园区配套用地和集体经营性建设用地，以</w:t>
      </w:r>
    </w:p>
    <w:p w14:paraId="49B2D856">
      <w:pPr>
        <w:spacing w:line="220" w:lineRule="auto"/>
        <w:sectPr>
          <w:footerReference r:id="rId7" w:type="default"/>
          <w:pgSz w:w="11907" w:h="16839"/>
          <w:pgMar w:top="1431" w:right="1410" w:bottom="1842" w:left="1593" w:header="0" w:footer="1477" w:gutter="0"/>
          <w:cols w:space="720" w:num="1"/>
        </w:sectPr>
      </w:pPr>
    </w:p>
    <w:p w14:paraId="7AC496D3">
      <w:pPr>
        <w:spacing w:line="317" w:lineRule="auto"/>
        <w:rPr>
          <w:rFonts w:ascii="Arial"/>
          <w:sz w:val="21"/>
        </w:rPr>
      </w:pPr>
    </w:p>
    <w:p w14:paraId="79FFE5F7">
      <w:pPr>
        <w:spacing w:line="318" w:lineRule="auto"/>
        <w:rPr>
          <w:rFonts w:ascii="Arial"/>
          <w:sz w:val="21"/>
        </w:rPr>
      </w:pPr>
    </w:p>
    <w:p w14:paraId="2FC7F46F">
      <w:pPr>
        <w:pStyle w:val="2"/>
        <w:spacing w:before="101" w:line="220" w:lineRule="auto"/>
      </w:pPr>
      <w:r>
        <w:rPr>
          <w:spacing w:val="5"/>
        </w:rPr>
        <w:t>及适当利用新供应国有建设用地建设保障性租赁住房。</w:t>
      </w:r>
    </w:p>
    <w:p w14:paraId="43776104">
      <w:pPr>
        <w:pStyle w:val="2"/>
        <w:spacing w:before="213" w:line="345" w:lineRule="auto"/>
        <w:ind w:left="3" w:right="154" w:firstLine="664"/>
      </w:pPr>
      <w:r>
        <w:rPr>
          <w:spacing w:val="4"/>
        </w:rPr>
        <w:t>改建是指利用闲置、低效利用的各类非居住存量房屋改造建设保障性租赁住房。</w:t>
      </w:r>
    </w:p>
    <w:p w14:paraId="3D99A990">
      <w:pPr>
        <w:pStyle w:val="2"/>
        <w:spacing w:before="5" w:line="345" w:lineRule="auto"/>
        <w:ind w:right="157" w:firstLine="631"/>
      </w:pPr>
      <w:r>
        <w:rPr>
          <w:spacing w:val="18"/>
        </w:rPr>
        <w:t>存量纳入是指将符合条件的存量房源纳入保障性租赁住房</w:t>
      </w:r>
      <w:r>
        <w:rPr>
          <w:spacing w:val="4"/>
        </w:rPr>
        <w:t>使用和管理。</w:t>
      </w:r>
    </w:p>
    <w:p w14:paraId="5DD42C12">
      <w:pPr>
        <w:pStyle w:val="2"/>
        <w:spacing w:before="7" w:line="346" w:lineRule="auto"/>
        <w:ind w:left="15" w:right="53" w:firstLine="619"/>
      </w:pPr>
      <w:r>
        <w:rPr>
          <w:rFonts w:ascii="黑体" w:hAnsi="黑体" w:eastAsia="黑体" w:cs="黑体"/>
          <w:spacing w:val="9"/>
        </w:rPr>
        <w:t xml:space="preserve">第九条  </w:t>
      </w:r>
      <w:r>
        <w:rPr>
          <w:spacing w:val="9"/>
        </w:rPr>
        <w:t>保障性租赁住房项目选址应当统筹考虑企业</w:t>
      </w:r>
      <w:r>
        <w:rPr>
          <w:spacing w:val="8"/>
        </w:rPr>
        <w:t>集中、</w:t>
      </w:r>
      <w:r>
        <w:rPr>
          <w:spacing w:val="-6"/>
        </w:rPr>
        <w:t>交通便利、配套完善等因素，合理安排居住、商业、教育、医疗、</w:t>
      </w:r>
      <w:r>
        <w:rPr>
          <w:spacing w:val="5"/>
        </w:rPr>
        <w:t>文化等各类功能，避免闲置空置和资源浪费，促进职住平衡；项目周边应充分考虑青年生活、工作和社交需求，合理布局商业业态和休闲活动场地，满足青年多元需求；项目地块内应设置多功</w:t>
      </w:r>
      <w:r>
        <w:rPr>
          <w:spacing w:val="-6"/>
        </w:rPr>
        <w:t>能共享空间，合理设置阅览室、休闲茶吧等，促进青年交流互</w:t>
      </w:r>
      <w:r>
        <w:rPr>
          <w:spacing w:val="-7"/>
        </w:rPr>
        <w:t>动。</w:t>
      </w:r>
    </w:p>
    <w:p w14:paraId="0F05F0F0">
      <w:pPr>
        <w:pStyle w:val="2"/>
        <w:spacing w:before="5" w:line="346" w:lineRule="auto"/>
        <w:ind w:left="10" w:right="154" w:firstLine="628"/>
      </w:pPr>
      <w:r>
        <w:rPr>
          <w:spacing w:val="5"/>
        </w:rPr>
        <w:t>鼓励利用地铁、公交场站等地块、上盖物业建设保障性租赁</w:t>
      </w:r>
      <w:r>
        <w:rPr>
          <w:spacing w:val="-15"/>
        </w:rPr>
        <w:t>住房。</w:t>
      </w:r>
    </w:p>
    <w:p w14:paraId="2BCA38E9">
      <w:pPr>
        <w:pStyle w:val="2"/>
        <w:spacing w:before="6" w:line="325" w:lineRule="auto"/>
        <w:ind w:left="1" w:firstLine="633"/>
      </w:pPr>
      <w:r>
        <w:rPr>
          <w:rFonts w:ascii="黑体" w:hAnsi="黑体" w:eastAsia="黑体" w:cs="黑体"/>
          <w:spacing w:val="11"/>
        </w:rPr>
        <w:t xml:space="preserve">第十条  </w:t>
      </w:r>
      <w:r>
        <w:rPr>
          <w:spacing w:val="11"/>
        </w:rPr>
        <w:t>保障性租赁住房以小户型为主，原则上每</w:t>
      </w:r>
      <w:r>
        <w:rPr>
          <w:spacing w:val="10"/>
        </w:rPr>
        <w:t>套（间）</w:t>
      </w:r>
      <w:r>
        <w:rPr>
          <w:spacing w:val="-2"/>
        </w:rPr>
        <w:t>建筑面积不超过</w:t>
      </w:r>
      <w:r>
        <w:rPr>
          <w:spacing w:val="-34"/>
        </w:rPr>
        <w:t xml:space="preserve"> </w:t>
      </w:r>
      <w:r>
        <w:rPr>
          <w:spacing w:val="-2"/>
        </w:rPr>
        <w:t>70</w:t>
      </w:r>
      <w:r>
        <w:rPr>
          <w:spacing w:val="-62"/>
        </w:rPr>
        <w:t xml:space="preserve"> </w:t>
      </w:r>
      <w:r>
        <w:rPr>
          <w:spacing w:val="-2"/>
        </w:rPr>
        <w:t>平方米。户型设计应适应青年单身或小家庭居</w:t>
      </w:r>
      <w:r>
        <w:rPr>
          <w:spacing w:val="5"/>
        </w:rPr>
        <w:t>住需求，标准配置厨房、独立卫浴等生活空间，注重采光、通风与空间利用，提升居住的舒适度与美观度。鼓励配备智能门锁、智能水电表等智能化设备，实现便捷管理与高效服务。引入绿色建筑理念，使用环保建材，打造健康宜居空间。</w:t>
      </w:r>
    </w:p>
    <w:p w14:paraId="1A7AE7C5">
      <w:pPr>
        <w:pStyle w:val="2"/>
        <w:spacing w:before="214" w:line="220" w:lineRule="auto"/>
        <w:ind w:left="634"/>
      </w:pPr>
      <w:r>
        <w:rPr>
          <w:rFonts w:ascii="黑体" w:hAnsi="黑体" w:eastAsia="黑体" w:cs="黑体"/>
          <w:spacing w:val="5"/>
        </w:rPr>
        <w:t xml:space="preserve">第十一条  </w:t>
      </w:r>
      <w:r>
        <w:rPr>
          <w:spacing w:val="5"/>
        </w:rPr>
        <w:t>保障性租赁住房租金标准按照以下规定执行：</w:t>
      </w:r>
    </w:p>
    <w:p w14:paraId="5215B68F">
      <w:pPr>
        <w:pStyle w:val="2"/>
        <w:spacing w:before="211" w:line="347" w:lineRule="auto"/>
        <w:ind w:left="11" w:right="171" w:firstLine="615"/>
      </w:pPr>
      <w:r>
        <w:rPr>
          <w:spacing w:val="5"/>
        </w:rPr>
        <w:t>（一）人才公寓租金标准参照《关于加强苏州市人才租赁住</w:t>
      </w:r>
      <w:r>
        <w:rPr>
          <w:spacing w:val="3"/>
        </w:rPr>
        <w:t>房保障工作的若干意见》（苏委办〔2021〕55</w:t>
      </w:r>
      <w:r>
        <w:rPr>
          <w:spacing w:val="-37"/>
        </w:rPr>
        <w:t xml:space="preserve"> </w:t>
      </w:r>
      <w:r>
        <w:rPr>
          <w:spacing w:val="3"/>
        </w:rPr>
        <w:t>号）执行；</w:t>
      </w:r>
    </w:p>
    <w:p w14:paraId="4558E328">
      <w:pPr>
        <w:spacing w:line="347" w:lineRule="auto"/>
        <w:sectPr>
          <w:footerReference r:id="rId8" w:type="default"/>
          <w:pgSz w:w="11907" w:h="16839"/>
          <w:pgMar w:top="1431" w:right="1433" w:bottom="1842" w:left="1482" w:header="0" w:footer="1475" w:gutter="0"/>
          <w:cols w:space="720" w:num="1"/>
        </w:sectPr>
      </w:pPr>
    </w:p>
    <w:p w14:paraId="59AD9F40">
      <w:pPr>
        <w:spacing w:line="317" w:lineRule="auto"/>
        <w:rPr>
          <w:rFonts w:ascii="Arial"/>
          <w:sz w:val="21"/>
        </w:rPr>
      </w:pPr>
    </w:p>
    <w:p w14:paraId="6FEDEBE6">
      <w:pPr>
        <w:spacing w:line="318" w:lineRule="auto"/>
        <w:rPr>
          <w:rFonts w:ascii="Arial"/>
          <w:sz w:val="21"/>
        </w:rPr>
      </w:pPr>
    </w:p>
    <w:p w14:paraId="3453DFCC">
      <w:pPr>
        <w:pStyle w:val="2"/>
        <w:spacing w:before="101" w:line="284" w:lineRule="auto"/>
        <w:ind w:left="21" w:right="298" w:firstLine="605"/>
      </w:pPr>
      <w:r>
        <w:rPr>
          <w:spacing w:val="1"/>
        </w:rPr>
        <w:t>（二）土地出让时，</w:t>
      </w:r>
      <w:r>
        <w:rPr>
          <w:spacing w:val="-85"/>
        </w:rPr>
        <w:t xml:space="preserve"> </w:t>
      </w:r>
      <w:r>
        <w:rPr>
          <w:spacing w:val="1"/>
        </w:rPr>
        <w:t>已在出让条件中明确租金标准的，按照</w:t>
      </w:r>
      <w:r>
        <w:rPr>
          <w:spacing w:val="-1"/>
        </w:rPr>
        <w:t>约定执行；</w:t>
      </w:r>
    </w:p>
    <w:p w14:paraId="7C5C772E">
      <w:pPr>
        <w:pStyle w:val="2"/>
        <w:spacing w:before="210" w:line="220" w:lineRule="auto"/>
        <w:jc w:val="right"/>
      </w:pPr>
      <w:r>
        <w:rPr>
          <w:spacing w:val="3"/>
        </w:rPr>
        <w:t>（三）其他项目租金不高于同地段同品质市场租赁住房租金。</w:t>
      </w:r>
    </w:p>
    <w:p w14:paraId="7F42D4A3">
      <w:pPr>
        <w:pStyle w:val="2"/>
        <w:spacing w:before="211" w:line="305" w:lineRule="auto"/>
        <w:ind w:right="246" w:firstLine="634"/>
      </w:pPr>
      <w:r>
        <w:rPr>
          <w:rFonts w:ascii="黑体" w:hAnsi="黑体" w:eastAsia="黑体" w:cs="黑体"/>
          <w:spacing w:val="5"/>
        </w:rPr>
        <w:t xml:space="preserve">第十二条  </w:t>
      </w:r>
      <w:r>
        <w:rPr>
          <w:spacing w:val="5"/>
        </w:rPr>
        <w:t>各县级市（区）结合实际情况统筹考虑，按照应保尽保、优先保障的原则，合理确定新供应住宅用地中保障性租</w:t>
      </w:r>
      <w:r>
        <w:rPr>
          <w:spacing w:val="4"/>
        </w:rPr>
        <w:t>赁住房用地供应规模。</w:t>
      </w:r>
    </w:p>
    <w:p w14:paraId="714AED7E">
      <w:pPr>
        <w:pStyle w:val="2"/>
        <w:spacing w:before="213" w:line="304" w:lineRule="auto"/>
        <w:ind w:right="246" w:firstLine="634"/>
      </w:pPr>
      <w:r>
        <w:rPr>
          <w:rFonts w:ascii="黑体" w:hAnsi="黑体" w:eastAsia="黑体" w:cs="黑体"/>
          <w:spacing w:val="5"/>
        </w:rPr>
        <w:t xml:space="preserve">第十三条  </w:t>
      </w:r>
      <w:r>
        <w:rPr>
          <w:spacing w:val="5"/>
        </w:rPr>
        <w:t>在尊重农民集体意愿的基础上，集体经济组织可利用依法取得的集体经营性建设用地通过自建、联营、入股等方</w:t>
      </w:r>
      <w:r>
        <w:rPr>
          <w:spacing w:val="4"/>
        </w:rPr>
        <w:t>式建设运营保障性租赁住房。</w:t>
      </w:r>
    </w:p>
    <w:p w14:paraId="7E6E0228">
      <w:pPr>
        <w:pStyle w:val="2"/>
        <w:spacing w:before="212" w:line="315" w:lineRule="auto"/>
        <w:ind w:left="12" w:right="246" w:firstLine="622"/>
      </w:pPr>
      <w:r>
        <w:rPr>
          <w:rFonts w:ascii="黑体" w:hAnsi="黑体" w:eastAsia="黑体" w:cs="黑体"/>
          <w:spacing w:val="5"/>
        </w:rPr>
        <w:t xml:space="preserve">第十四条  </w:t>
      </w:r>
      <w:r>
        <w:rPr>
          <w:spacing w:val="5"/>
        </w:rPr>
        <w:t>在不影响城市规划实施、满足安全环保要求、尊重群众意愿的前提下，经城市人民政府同意，可以利用闲置和低效利用的商业办公、旅馆、科研教育等非居住存量房屋改建为保</w:t>
      </w:r>
      <w:r>
        <w:rPr>
          <w:spacing w:val="2"/>
        </w:rPr>
        <w:t>障性租赁住房。</w:t>
      </w:r>
    </w:p>
    <w:p w14:paraId="3DF6AF03">
      <w:pPr>
        <w:pStyle w:val="2"/>
        <w:spacing w:before="213" w:line="283" w:lineRule="auto"/>
        <w:ind w:left="31" w:right="246" w:firstLine="603"/>
      </w:pPr>
      <w:r>
        <w:rPr>
          <w:rFonts w:ascii="黑体" w:hAnsi="黑体" w:eastAsia="黑体" w:cs="黑体"/>
          <w:spacing w:val="5"/>
        </w:rPr>
        <w:t xml:space="preserve">第十五条  </w:t>
      </w:r>
      <w:r>
        <w:rPr>
          <w:spacing w:val="5"/>
        </w:rPr>
        <w:t>存量房屋改建原则上不得改变相邻关系，有条件</w:t>
      </w:r>
      <w:r>
        <w:rPr>
          <w:spacing w:val="4"/>
        </w:rPr>
        <w:t>的可以明确一定比例用于物业服务用房和公共配套设施。</w:t>
      </w:r>
    </w:p>
    <w:p w14:paraId="496F09D9">
      <w:pPr>
        <w:pStyle w:val="2"/>
        <w:spacing w:before="214" w:line="220" w:lineRule="auto"/>
        <w:ind w:left="678"/>
      </w:pPr>
      <w:r>
        <w:rPr>
          <w:spacing w:val="2"/>
        </w:rPr>
        <w:t>以下情形不得改建为保障性租赁住房：</w:t>
      </w:r>
    </w:p>
    <w:p w14:paraId="526B2ACF">
      <w:pPr>
        <w:pStyle w:val="2"/>
        <w:spacing w:before="212" w:line="221" w:lineRule="auto"/>
        <w:ind w:left="627"/>
      </w:pPr>
      <w:r>
        <w:rPr>
          <w:spacing w:val="5"/>
        </w:rPr>
        <w:t>（一）违法存量房屋；</w:t>
      </w:r>
    </w:p>
    <w:p w14:paraId="28CA69A4">
      <w:pPr>
        <w:pStyle w:val="2"/>
        <w:spacing w:before="213" w:line="283" w:lineRule="auto"/>
        <w:ind w:left="11" w:right="275" w:firstLine="615"/>
      </w:pPr>
      <w:r>
        <w:rPr>
          <w:spacing w:val="4"/>
        </w:rPr>
        <w:t>（二）改建后无法满足结构安全、消防安全和环保要求的存</w:t>
      </w:r>
      <w:r>
        <w:t>量房屋；</w:t>
      </w:r>
    </w:p>
    <w:p w14:paraId="6C26ECC4">
      <w:pPr>
        <w:pStyle w:val="2"/>
        <w:spacing w:before="212" w:line="221" w:lineRule="auto"/>
        <w:ind w:left="627"/>
      </w:pPr>
      <w:r>
        <w:rPr>
          <w:spacing w:val="5"/>
        </w:rPr>
        <w:t>（三）列入征收和协议搬迁计划的存量房屋；</w:t>
      </w:r>
    </w:p>
    <w:p w14:paraId="7EEB951B">
      <w:pPr>
        <w:pStyle w:val="2"/>
        <w:spacing w:before="211" w:line="219" w:lineRule="auto"/>
        <w:ind w:left="627"/>
      </w:pPr>
      <w:r>
        <w:rPr>
          <w:spacing w:val="5"/>
        </w:rPr>
        <w:t>（四）法律法规禁止改建的其他情形。</w:t>
      </w:r>
    </w:p>
    <w:p w14:paraId="240B2F44">
      <w:pPr>
        <w:pStyle w:val="2"/>
        <w:spacing w:before="215" w:line="220" w:lineRule="auto"/>
        <w:ind w:left="655"/>
      </w:pPr>
      <w:r>
        <w:rPr>
          <w:spacing w:val="4"/>
        </w:rPr>
        <w:t>涉及消防改造、结构变动的项目，需履行法定程序的，应当</w:t>
      </w:r>
    </w:p>
    <w:p w14:paraId="2B975945">
      <w:pPr>
        <w:spacing w:line="220" w:lineRule="auto"/>
        <w:sectPr>
          <w:footerReference r:id="rId9" w:type="default"/>
          <w:pgSz w:w="11907" w:h="16839"/>
          <w:pgMar w:top="1431" w:right="1225" w:bottom="1842" w:left="1597" w:header="0" w:footer="1477" w:gutter="0"/>
          <w:cols w:space="720" w:num="1"/>
        </w:sectPr>
      </w:pPr>
    </w:p>
    <w:p w14:paraId="65E08E1A">
      <w:pPr>
        <w:spacing w:line="317" w:lineRule="auto"/>
        <w:rPr>
          <w:rFonts w:ascii="Arial"/>
          <w:sz w:val="21"/>
        </w:rPr>
      </w:pPr>
    </w:p>
    <w:p w14:paraId="46995AD2">
      <w:pPr>
        <w:spacing w:line="317" w:lineRule="auto"/>
        <w:rPr>
          <w:rFonts w:ascii="Arial"/>
          <w:sz w:val="21"/>
        </w:rPr>
      </w:pPr>
    </w:p>
    <w:p w14:paraId="43BBDE28">
      <w:pPr>
        <w:pStyle w:val="2"/>
        <w:spacing w:before="101" w:line="347" w:lineRule="auto"/>
        <w:ind w:left="7" w:right="240" w:hanging="2"/>
      </w:pPr>
      <w:r>
        <w:rPr>
          <w:spacing w:val="5"/>
        </w:rPr>
        <w:t>按照相关法律、法规办理。消防设计、结构安全应当符合相关规</w:t>
      </w:r>
      <w:r>
        <w:rPr>
          <w:spacing w:val="3"/>
        </w:rPr>
        <w:t>定和技术标准。</w:t>
      </w:r>
    </w:p>
    <w:p w14:paraId="2EB2DD69">
      <w:pPr>
        <w:pStyle w:val="2"/>
        <w:spacing w:before="2" w:line="321" w:lineRule="auto"/>
        <w:ind w:left="3" w:right="144" w:firstLine="631"/>
      </w:pPr>
      <w:r>
        <w:rPr>
          <w:rFonts w:ascii="黑体" w:hAnsi="黑体" w:eastAsia="黑体" w:cs="黑体"/>
          <w:spacing w:val="9"/>
        </w:rPr>
        <w:t xml:space="preserve">第十六条  </w:t>
      </w:r>
      <w:r>
        <w:rPr>
          <w:spacing w:val="9"/>
        </w:rPr>
        <w:t>现有各类政策支持的租赁住房</w:t>
      </w:r>
      <w:r>
        <w:rPr>
          <w:spacing w:val="8"/>
        </w:rPr>
        <w:t>、人才租赁住房、</w:t>
      </w:r>
      <w:r>
        <w:rPr>
          <w:spacing w:val="5"/>
        </w:rPr>
        <w:t>未纳入国家和省计划的公租房、闲置可转为租赁住房的拆迁安置住房、机关和企事业单位建设的租赁住房以及其他符合规定的存量住房，经各县级市（区）住房和城乡建设部门组织相关单位联</w:t>
      </w:r>
      <w:r>
        <w:rPr>
          <w:spacing w:val="4"/>
        </w:rPr>
        <w:t>合审查后，可以纳入保障性租赁住房管理。</w:t>
      </w:r>
    </w:p>
    <w:p w14:paraId="44C4E85D">
      <w:pPr>
        <w:pStyle w:val="2"/>
        <w:spacing w:before="213" w:line="283" w:lineRule="auto"/>
        <w:ind w:left="11" w:firstLine="623"/>
      </w:pPr>
      <w:r>
        <w:rPr>
          <w:rFonts w:ascii="黑体" w:hAnsi="黑体" w:eastAsia="黑体" w:cs="黑体"/>
          <w:spacing w:val="2"/>
        </w:rPr>
        <w:t xml:space="preserve">第十七条  </w:t>
      </w:r>
      <w:r>
        <w:rPr>
          <w:spacing w:val="2"/>
        </w:rPr>
        <w:t>新建、改建或者存量纳入保障性租赁住房的项目，</w:t>
      </w:r>
      <w:r>
        <w:rPr>
          <w:spacing w:val="5"/>
        </w:rPr>
        <w:t>应当不存在查封登记、异议登记等限制转移登</w:t>
      </w:r>
      <w:r>
        <w:rPr>
          <w:spacing w:val="4"/>
        </w:rPr>
        <w:t>记的情形。</w:t>
      </w:r>
    </w:p>
    <w:p w14:paraId="14E52036">
      <w:pPr>
        <w:pStyle w:val="2"/>
        <w:spacing w:before="212" w:line="305" w:lineRule="auto"/>
        <w:ind w:left="17" w:right="239" w:firstLine="617"/>
      </w:pPr>
      <w:r>
        <w:rPr>
          <w:rFonts w:ascii="黑体" w:hAnsi="黑体" w:eastAsia="黑体" w:cs="黑体"/>
          <w:spacing w:val="5"/>
        </w:rPr>
        <w:t xml:space="preserve">第十八条  </w:t>
      </w:r>
      <w:r>
        <w:rPr>
          <w:spacing w:val="5"/>
        </w:rPr>
        <w:t>集中式保障性租赁住房项目应当按照《住房和城乡建设部办公厅关于集中式租赁住房建设适用标准的通</w:t>
      </w:r>
      <w:r>
        <w:rPr>
          <w:spacing w:val="4"/>
        </w:rPr>
        <w:t>知》（建</w:t>
      </w:r>
      <w:r>
        <w:rPr>
          <w:spacing w:val="2"/>
        </w:rPr>
        <w:t>办标〔2021〕19</w:t>
      </w:r>
      <w:r>
        <w:rPr>
          <w:spacing w:val="-52"/>
        </w:rPr>
        <w:t xml:space="preserve"> </w:t>
      </w:r>
      <w:r>
        <w:rPr>
          <w:spacing w:val="2"/>
        </w:rPr>
        <w:t>号）有关规定执行。</w:t>
      </w:r>
    </w:p>
    <w:p w14:paraId="48B81728">
      <w:pPr>
        <w:spacing w:line="397" w:lineRule="auto"/>
        <w:rPr>
          <w:rFonts w:ascii="Arial"/>
          <w:sz w:val="21"/>
        </w:rPr>
      </w:pPr>
    </w:p>
    <w:p w14:paraId="1017F8F1">
      <w:pPr>
        <w:spacing w:before="101" w:line="224" w:lineRule="auto"/>
        <w:ind w:left="3162"/>
        <w:outlineLvl w:val="2"/>
        <w:rPr>
          <w:rFonts w:ascii="黑体" w:hAnsi="黑体" w:eastAsia="黑体" w:cs="黑体"/>
          <w:sz w:val="31"/>
          <w:szCs w:val="31"/>
        </w:rPr>
      </w:pPr>
      <w:r>
        <w:rPr>
          <w:rFonts w:ascii="黑体" w:hAnsi="黑体" w:eastAsia="黑体" w:cs="黑体"/>
          <w:spacing w:val="4"/>
          <w:sz w:val="31"/>
          <w:szCs w:val="31"/>
        </w:rPr>
        <w:t>第三章  项目认定</w:t>
      </w:r>
    </w:p>
    <w:p w14:paraId="45004462">
      <w:pPr>
        <w:spacing w:line="393" w:lineRule="auto"/>
        <w:rPr>
          <w:rFonts w:ascii="Arial"/>
          <w:sz w:val="21"/>
        </w:rPr>
      </w:pPr>
    </w:p>
    <w:p w14:paraId="3E008E2C">
      <w:pPr>
        <w:pStyle w:val="2"/>
        <w:spacing w:before="102" w:line="346" w:lineRule="auto"/>
        <w:ind w:right="239" w:firstLine="634"/>
        <w:jc w:val="both"/>
      </w:pPr>
      <w:r>
        <w:rPr>
          <w:rFonts w:ascii="黑体" w:hAnsi="黑体" w:eastAsia="黑体" w:cs="黑体"/>
          <w:spacing w:val="5"/>
        </w:rPr>
        <w:t xml:space="preserve">第十九条  </w:t>
      </w:r>
      <w:r>
        <w:rPr>
          <w:spacing w:val="5"/>
        </w:rPr>
        <w:t>申请纳入保障性租赁住房管理的项目，在取得项目认定书后，方可纳入管理并享受本《办法》第四章规定的政策</w:t>
      </w:r>
      <w:r>
        <w:rPr>
          <w:spacing w:val="4"/>
        </w:rPr>
        <w:t>及相关政策支持。</w:t>
      </w:r>
    </w:p>
    <w:p w14:paraId="08097DB8">
      <w:pPr>
        <w:pStyle w:val="2"/>
        <w:spacing w:before="5" w:line="345" w:lineRule="auto"/>
        <w:ind w:right="240" w:firstLine="633"/>
      </w:pPr>
      <w:r>
        <w:rPr>
          <w:spacing w:val="5"/>
        </w:rPr>
        <w:t>各县级市（区）应当结合本地情况，按照筹建方式分类制定保障性租赁住房项目认定标准。</w:t>
      </w:r>
    </w:p>
    <w:p w14:paraId="6030E89B">
      <w:pPr>
        <w:pStyle w:val="2"/>
        <w:spacing w:before="5" w:line="346" w:lineRule="auto"/>
        <w:ind w:right="240" w:firstLine="638"/>
        <w:jc w:val="both"/>
      </w:pPr>
      <w:r>
        <w:rPr>
          <w:spacing w:val="5"/>
        </w:rPr>
        <w:t>项目认定申请人（以下称申请人）为土地、房屋的不动产权利人。申请人向各县级市（区）住房和城乡建设部门提出建设或认定为保障性租赁住房的申请。申请材料清单如下：</w:t>
      </w:r>
    </w:p>
    <w:p w14:paraId="69528730">
      <w:pPr>
        <w:spacing w:line="346" w:lineRule="auto"/>
        <w:sectPr>
          <w:footerReference r:id="rId10" w:type="default"/>
          <w:pgSz w:w="11907" w:h="16839"/>
          <w:pgMar w:top="1431" w:right="1347" w:bottom="1842" w:left="1482" w:header="0" w:footer="1477" w:gutter="0"/>
          <w:cols w:space="720" w:num="1"/>
        </w:sectPr>
      </w:pPr>
    </w:p>
    <w:p w14:paraId="285DA297">
      <w:pPr>
        <w:spacing w:line="317" w:lineRule="auto"/>
        <w:rPr>
          <w:rFonts w:ascii="Arial"/>
          <w:sz w:val="21"/>
        </w:rPr>
      </w:pPr>
    </w:p>
    <w:p w14:paraId="3C4105C0">
      <w:pPr>
        <w:spacing w:line="318" w:lineRule="auto"/>
        <w:rPr>
          <w:rFonts w:ascii="Arial"/>
          <w:sz w:val="21"/>
        </w:rPr>
      </w:pPr>
    </w:p>
    <w:p w14:paraId="0F8BA80F">
      <w:pPr>
        <w:pStyle w:val="2"/>
        <w:spacing w:before="101" w:line="220" w:lineRule="auto"/>
        <w:ind w:left="619"/>
      </w:pPr>
      <w:r>
        <w:rPr>
          <w:spacing w:val="5"/>
        </w:rPr>
        <w:t>（一）项目认定申请书；</w:t>
      </w:r>
    </w:p>
    <w:p w14:paraId="4AD8E6C2">
      <w:pPr>
        <w:pStyle w:val="2"/>
        <w:spacing w:before="215" w:line="304" w:lineRule="auto"/>
        <w:ind w:left="1" w:firstLine="618"/>
      </w:pPr>
      <w:r>
        <w:rPr>
          <w:spacing w:val="-3"/>
        </w:rPr>
        <w:t>（二）不动产权利人身份证，申请人为法人和非法人组织的，</w:t>
      </w:r>
      <w:r>
        <w:rPr>
          <w:spacing w:val="5"/>
        </w:rPr>
        <w:t>需提供营业执照等法人身份证明及其法定代表人身份证等身份材</w:t>
      </w:r>
      <w:r>
        <w:rPr>
          <w:spacing w:val="-23"/>
        </w:rPr>
        <w:t>料；</w:t>
      </w:r>
    </w:p>
    <w:p w14:paraId="737C8E78">
      <w:pPr>
        <w:pStyle w:val="2"/>
        <w:spacing w:before="211" w:line="220" w:lineRule="auto"/>
        <w:ind w:left="619"/>
      </w:pPr>
      <w:r>
        <w:rPr>
          <w:spacing w:val="5"/>
        </w:rPr>
        <w:t>（三）申请项目的不动产权属证书；</w:t>
      </w:r>
    </w:p>
    <w:p w14:paraId="0056854D">
      <w:pPr>
        <w:pStyle w:val="2"/>
        <w:spacing w:before="215" w:line="304" w:lineRule="auto"/>
        <w:ind w:left="2" w:right="142" w:firstLine="616"/>
      </w:pPr>
      <w:r>
        <w:rPr>
          <w:spacing w:val="-8"/>
        </w:rPr>
        <w:t>（四）项目实施方案，主要包括项目现状、建筑</w:t>
      </w:r>
      <w:r>
        <w:rPr>
          <w:spacing w:val="-9"/>
        </w:rPr>
        <w:t>设计方案（户</w:t>
      </w:r>
      <w:r>
        <w:rPr>
          <w:spacing w:val="-18"/>
        </w:rPr>
        <w:t>型设计、房源数量等）、项目运营方案（投入成本、回收周期等）、</w:t>
      </w:r>
      <w:r>
        <w:rPr>
          <w:spacing w:val="-4"/>
        </w:rPr>
        <w:t>租赁管理方案（经营模式、租赁对象、租金水平、</w:t>
      </w:r>
      <w:r>
        <w:rPr>
          <w:spacing w:val="-5"/>
        </w:rPr>
        <w:t>租期设定等</w:t>
      </w:r>
      <w:r>
        <w:rPr>
          <w:spacing w:val="-70"/>
        </w:rPr>
        <w:t>）；</w:t>
      </w:r>
    </w:p>
    <w:p w14:paraId="4FBA0707">
      <w:pPr>
        <w:pStyle w:val="2"/>
        <w:spacing w:before="212" w:line="220" w:lineRule="auto"/>
        <w:ind w:left="619"/>
      </w:pPr>
      <w:r>
        <w:rPr>
          <w:spacing w:val="5"/>
        </w:rPr>
        <w:t>（五）项目建设与管理承诺书。</w:t>
      </w:r>
    </w:p>
    <w:p w14:paraId="43A7EF31">
      <w:pPr>
        <w:pStyle w:val="2"/>
        <w:spacing w:before="214" w:line="346" w:lineRule="auto"/>
        <w:ind w:left="9" w:right="86" w:firstLine="617"/>
      </w:pPr>
      <w:r>
        <w:rPr>
          <w:rFonts w:ascii="黑体" w:hAnsi="黑体" w:eastAsia="黑体" w:cs="黑体"/>
          <w:spacing w:val="17"/>
        </w:rPr>
        <w:t xml:space="preserve">第二十条  </w:t>
      </w:r>
      <w:r>
        <w:rPr>
          <w:spacing w:val="17"/>
        </w:rPr>
        <w:t>项目建设与管理承诺书的承诺事项主要包括以</w:t>
      </w:r>
      <w:r>
        <w:rPr>
          <w:spacing w:val="-1"/>
        </w:rPr>
        <w:t>下内容：</w:t>
      </w:r>
    </w:p>
    <w:p w14:paraId="4A922E38">
      <w:pPr>
        <w:pStyle w:val="2"/>
        <w:spacing w:before="2" w:line="220" w:lineRule="auto"/>
        <w:ind w:left="619"/>
      </w:pPr>
      <w:r>
        <w:rPr>
          <w:spacing w:val="1"/>
        </w:rPr>
        <w:t>（一）</w:t>
      </w:r>
      <w:r>
        <w:rPr>
          <w:spacing w:val="-83"/>
        </w:rPr>
        <w:t xml:space="preserve"> </w:t>
      </w:r>
      <w:r>
        <w:rPr>
          <w:spacing w:val="1"/>
        </w:rPr>
        <w:t>自愿承担项目建设、运营风险；</w:t>
      </w:r>
    </w:p>
    <w:p w14:paraId="552F31A0">
      <w:pPr>
        <w:pStyle w:val="2"/>
        <w:spacing w:before="212" w:line="219" w:lineRule="auto"/>
        <w:ind w:left="619"/>
      </w:pPr>
      <w:r>
        <w:rPr>
          <w:spacing w:val="5"/>
        </w:rPr>
        <w:t>（二）接受政府对租金水平的指导；</w:t>
      </w:r>
    </w:p>
    <w:p w14:paraId="1996AEA3">
      <w:pPr>
        <w:pStyle w:val="2"/>
        <w:spacing w:before="215" w:line="220" w:lineRule="auto"/>
        <w:ind w:left="619"/>
      </w:pPr>
      <w:r>
        <w:rPr>
          <w:spacing w:val="3"/>
        </w:rPr>
        <w:t>（三）一次性收取的租金原则上不得超过</w:t>
      </w:r>
      <w:r>
        <w:rPr>
          <w:spacing w:val="-36"/>
        </w:rPr>
        <w:t xml:space="preserve"> </w:t>
      </w:r>
      <w:r>
        <w:rPr>
          <w:spacing w:val="3"/>
        </w:rPr>
        <w:t>3</w:t>
      </w:r>
      <w:r>
        <w:rPr>
          <w:spacing w:val="-64"/>
        </w:rPr>
        <w:t xml:space="preserve"> </w:t>
      </w:r>
      <w:r>
        <w:rPr>
          <w:spacing w:val="3"/>
        </w:rPr>
        <w:t>个月；</w:t>
      </w:r>
    </w:p>
    <w:p w14:paraId="3DCBD04A">
      <w:pPr>
        <w:pStyle w:val="2"/>
        <w:spacing w:before="210" w:line="284" w:lineRule="auto"/>
        <w:ind w:right="113" w:firstLine="619"/>
      </w:pPr>
      <w:r>
        <w:rPr>
          <w:spacing w:val="4"/>
        </w:rPr>
        <w:t>（四）及时向各县级市（区）住建部门归集房源情况、租赁</w:t>
      </w:r>
      <w:r>
        <w:rPr>
          <w:spacing w:val="2"/>
        </w:rPr>
        <w:t>合同等信息；</w:t>
      </w:r>
    </w:p>
    <w:p w14:paraId="316334DF">
      <w:pPr>
        <w:pStyle w:val="2"/>
        <w:spacing w:before="213" w:line="219" w:lineRule="auto"/>
        <w:ind w:left="619"/>
      </w:pPr>
      <w:r>
        <w:rPr>
          <w:spacing w:val="5"/>
        </w:rPr>
        <w:t>（五）不得向不符合条件的对象租赁；</w:t>
      </w:r>
    </w:p>
    <w:p w14:paraId="0E5BE1D0">
      <w:pPr>
        <w:pStyle w:val="2"/>
        <w:spacing w:before="216" w:line="283" w:lineRule="auto"/>
        <w:ind w:left="6" w:right="120" w:firstLine="613"/>
      </w:pPr>
      <w:r>
        <w:rPr>
          <w:spacing w:val="4"/>
        </w:rPr>
        <w:t>（六）改建类项目若征收拆除、协议搬迁，按原用途、面积</w:t>
      </w:r>
      <w:r>
        <w:rPr>
          <w:spacing w:val="-20"/>
        </w:rPr>
        <w:t>补偿；</w:t>
      </w:r>
    </w:p>
    <w:p w14:paraId="1D2FC694">
      <w:pPr>
        <w:pStyle w:val="2"/>
        <w:spacing w:before="212" w:line="220" w:lineRule="auto"/>
        <w:ind w:left="619"/>
      </w:pPr>
      <w:r>
        <w:rPr>
          <w:spacing w:val="5"/>
        </w:rPr>
        <w:t>（七）执行保障性租赁住房相关政策规定；</w:t>
      </w:r>
    </w:p>
    <w:p w14:paraId="21C6AD6E">
      <w:pPr>
        <w:pStyle w:val="2"/>
        <w:spacing w:before="212" w:line="220" w:lineRule="auto"/>
        <w:ind w:left="619"/>
      </w:pPr>
      <w:r>
        <w:rPr>
          <w:spacing w:val="5"/>
        </w:rPr>
        <w:t>（八）其他应当纳入承诺书的事项。</w:t>
      </w:r>
    </w:p>
    <w:p w14:paraId="11F67F23">
      <w:pPr>
        <w:pStyle w:val="2"/>
        <w:spacing w:before="213" w:line="220" w:lineRule="auto"/>
        <w:ind w:left="627"/>
      </w:pPr>
      <w:r>
        <w:rPr>
          <w:rFonts w:ascii="黑体" w:hAnsi="黑体" w:eastAsia="黑体" w:cs="黑体"/>
          <w:spacing w:val="5"/>
        </w:rPr>
        <w:t xml:space="preserve">第二十一条  </w:t>
      </w:r>
      <w:r>
        <w:rPr>
          <w:spacing w:val="5"/>
        </w:rPr>
        <w:t>各县级市（区）住房和城乡建设部门受理项目</w:t>
      </w:r>
    </w:p>
    <w:p w14:paraId="3F89E957">
      <w:pPr>
        <w:spacing w:line="220" w:lineRule="auto"/>
        <w:sectPr>
          <w:footerReference r:id="rId11" w:type="default"/>
          <w:pgSz w:w="11907" w:h="16839"/>
          <w:pgMar w:top="1431" w:right="1389" w:bottom="1842" w:left="1605" w:header="0" w:footer="1477" w:gutter="0"/>
          <w:cols w:space="720" w:num="1"/>
        </w:sectPr>
      </w:pPr>
    </w:p>
    <w:p w14:paraId="63E4A75E">
      <w:pPr>
        <w:spacing w:line="317" w:lineRule="auto"/>
        <w:rPr>
          <w:rFonts w:ascii="Arial"/>
          <w:sz w:val="21"/>
        </w:rPr>
      </w:pPr>
    </w:p>
    <w:p w14:paraId="360A6A08">
      <w:pPr>
        <w:spacing w:line="317" w:lineRule="auto"/>
        <w:rPr>
          <w:rFonts w:ascii="Arial"/>
          <w:sz w:val="21"/>
        </w:rPr>
      </w:pPr>
    </w:p>
    <w:p w14:paraId="7661713D">
      <w:pPr>
        <w:pStyle w:val="2"/>
        <w:spacing w:before="101" w:line="346" w:lineRule="auto"/>
        <w:ind w:left="13"/>
        <w:jc w:val="both"/>
      </w:pPr>
      <w:r>
        <w:rPr>
          <w:spacing w:val="-2"/>
        </w:rPr>
        <w:t>认定申请后，应及时组织项目审查，自受理之日起</w:t>
      </w:r>
      <w:r>
        <w:rPr>
          <w:spacing w:val="-36"/>
        </w:rPr>
        <w:t xml:space="preserve"> </w:t>
      </w:r>
      <w:r>
        <w:rPr>
          <w:spacing w:val="-2"/>
        </w:rPr>
        <w:t>15</w:t>
      </w:r>
      <w:r>
        <w:rPr>
          <w:spacing w:val="-64"/>
        </w:rPr>
        <w:t xml:space="preserve"> </w:t>
      </w:r>
      <w:r>
        <w:rPr>
          <w:spacing w:val="-2"/>
        </w:rPr>
        <w:t>个工作日内</w:t>
      </w:r>
      <w:r>
        <w:rPr>
          <w:spacing w:val="5"/>
        </w:rPr>
        <w:t>应完成项目认定工作，符合条件的，出具项目认定书，在项目认</w:t>
      </w:r>
      <w:r>
        <w:rPr>
          <w:spacing w:val="4"/>
        </w:rPr>
        <w:t>定书中对项目类型、土地用途等情况进行明确。</w:t>
      </w:r>
    </w:p>
    <w:p w14:paraId="241F20ED">
      <w:pPr>
        <w:pStyle w:val="2"/>
        <w:spacing w:before="6" w:line="346" w:lineRule="auto"/>
        <w:ind w:right="5" w:firstLine="639"/>
        <w:jc w:val="both"/>
      </w:pPr>
      <w:r>
        <w:rPr>
          <w:spacing w:val="5"/>
        </w:rPr>
        <w:t>各县级市（区）住房和城乡建设部门应当及时将认定的项目</w:t>
      </w:r>
      <w:r>
        <w:rPr>
          <w:spacing w:val="6"/>
        </w:rPr>
        <w:t>信息推送至同级税务、供水、供电、供气等相</w:t>
      </w:r>
      <w:r>
        <w:rPr>
          <w:spacing w:val="5"/>
        </w:rPr>
        <w:t>关部门，实现数据共享，并将通过认定的项目报市住房城乡建设局进行信息归集。</w:t>
      </w:r>
    </w:p>
    <w:p w14:paraId="552E11B1">
      <w:pPr>
        <w:pStyle w:val="2"/>
        <w:spacing w:before="5" w:line="346" w:lineRule="auto"/>
        <w:ind w:left="16" w:right="2" w:firstLine="624"/>
        <w:jc w:val="both"/>
      </w:pPr>
      <w:r>
        <w:rPr>
          <w:rFonts w:ascii="黑体" w:hAnsi="黑体" w:eastAsia="黑体" w:cs="黑体"/>
          <w:spacing w:val="5"/>
        </w:rPr>
        <w:t xml:space="preserve">第二十二条  </w:t>
      </w:r>
      <w:r>
        <w:rPr>
          <w:spacing w:val="5"/>
        </w:rPr>
        <w:t>申请人凭项目认定书依法办理立项、用地、规划、施工、消防等手续，享受税费减免等支持政策。不涉及土地权属变化的项目，可用已有用地手续等材料作为土地证明文件，</w:t>
      </w:r>
      <w:r>
        <w:rPr>
          <w:spacing w:val="3"/>
        </w:rPr>
        <w:t>不再办理用地手续。</w:t>
      </w:r>
    </w:p>
    <w:p w14:paraId="0457723F">
      <w:pPr>
        <w:pStyle w:val="2"/>
        <w:spacing w:line="346" w:lineRule="auto"/>
        <w:ind w:left="13" w:right="5" w:firstLine="641"/>
        <w:jc w:val="both"/>
      </w:pPr>
      <w:r>
        <w:rPr>
          <w:spacing w:val="5"/>
        </w:rPr>
        <w:t>受理项目备案审批申请后，各县级市（区）应通</w:t>
      </w:r>
      <w:r>
        <w:rPr>
          <w:spacing w:val="4"/>
        </w:rPr>
        <w:t>过工程建设</w:t>
      </w:r>
      <w:r>
        <w:rPr>
          <w:spacing w:val="5"/>
        </w:rPr>
        <w:t>项目审批管理系统，落实一窗受理，实施并联审核，提高审批效</w:t>
      </w:r>
      <w:r>
        <w:rPr>
          <w:spacing w:val="-18"/>
        </w:rPr>
        <w:t>率。</w:t>
      </w:r>
    </w:p>
    <w:p w14:paraId="55948FD1">
      <w:pPr>
        <w:pStyle w:val="2"/>
        <w:spacing w:before="4" w:line="346" w:lineRule="auto"/>
        <w:ind w:left="18" w:right="5" w:firstLine="621"/>
        <w:jc w:val="both"/>
      </w:pPr>
      <w:r>
        <w:rPr>
          <w:spacing w:val="5"/>
        </w:rPr>
        <w:t>各县级市（区）根据国家、省关于发展保障性租赁住房工作要求，结合存量建筑盘活利用相关政策，坚持灵活、审慎、可行</w:t>
      </w:r>
      <w:r>
        <w:rPr>
          <w:spacing w:val="3"/>
        </w:rPr>
        <w:t>原则，优化改建审批流程。</w:t>
      </w:r>
    </w:p>
    <w:p w14:paraId="3848CB86">
      <w:pPr>
        <w:spacing w:before="293" w:line="224" w:lineRule="auto"/>
        <w:ind w:left="3168"/>
        <w:outlineLvl w:val="2"/>
        <w:rPr>
          <w:rFonts w:ascii="黑体" w:hAnsi="黑体" w:eastAsia="黑体" w:cs="黑体"/>
          <w:sz w:val="31"/>
          <w:szCs w:val="31"/>
        </w:rPr>
      </w:pPr>
      <w:r>
        <w:rPr>
          <w:rFonts w:ascii="黑体" w:hAnsi="黑体" w:eastAsia="黑体" w:cs="黑体"/>
          <w:spacing w:val="4"/>
          <w:sz w:val="31"/>
          <w:szCs w:val="31"/>
        </w:rPr>
        <w:t>第四章  支持措施</w:t>
      </w:r>
    </w:p>
    <w:p w14:paraId="2BA933D5">
      <w:pPr>
        <w:spacing w:line="396" w:lineRule="auto"/>
        <w:rPr>
          <w:rFonts w:ascii="Arial"/>
          <w:sz w:val="21"/>
        </w:rPr>
      </w:pPr>
    </w:p>
    <w:p w14:paraId="75741170">
      <w:pPr>
        <w:pStyle w:val="2"/>
        <w:spacing w:before="101" w:line="346" w:lineRule="auto"/>
        <w:ind w:left="6" w:right="2" w:firstLine="634"/>
        <w:jc w:val="both"/>
      </w:pPr>
      <w:r>
        <w:rPr>
          <w:rFonts w:ascii="黑体" w:hAnsi="黑体" w:eastAsia="黑体" w:cs="黑体"/>
          <w:spacing w:val="5"/>
        </w:rPr>
        <w:t xml:space="preserve">第二十三条  </w:t>
      </w:r>
      <w:r>
        <w:rPr>
          <w:spacing w:val="5"/>
        </w:rPr>
        <w:t>保障性租赁住房建设用地可依法采取出让、租赁或者划拨方式供应。其中以出让或者租赁方式供应的，可以将保障性租赁住房租赁价格及调整方式作为出让或者租赁的前置条</w:t>
      </w:r>
      <w:r>
        <w:rPr>
          <w:spacing w:val="4"/>
        </w:rPr>
        <w:t>件，允许出让价款分期收取。</w:t>
      </w:r>
    </w:p>
    <w:p w14:paraId="56867307">
      <w:pPr>
        <w:spacing w:line="346" w:lineRule="auto"/>
        <w:sectPr>
          <w:footerReference r:id="rId12" w:type="default"/>
          <w:pgSz w:w="11907" w:h="16839"/>
          <w:pgMar w:top="1431" w:right="1582" w:bottom="1842" w:left="1476" w:header="0" w:footer="1477" w:gutter="0"/>
          <w:cols w:space="720" w:num="1"/>
        </w:sectPr>
      </w:pPr>
    </w:p>
    <w:p w14:paraId="11AD7765">
      <w:pPr>
        <w:spacing w:line="318" w:lineRule="auto"/>
        <w:rPr>
          <w:rFonts w:ascii="Arial"/>
          <w:sz w:val="21"/>
        </w:rPr>
      </w:pPr>
    </w:p>
    <w:p w14:paraId="31D025F4">
      <w:pPr>
        <w:spacing w:line="319" w:lineRule="auto"/>
        <w:rPr>
          <w:rFonts w:ascii="Arial"/>
          <w:sz w:val="21"/>
        </w:rPr>
      </w:pPr>
    </w:p>
    <w:p w14:paraId="388777BE">
      <w:pPr>
        <w:pStyle w:val="2"/>
        <w:spacing w:before="101" w:line="282" w:lineRule="auto"/>
        <w:ind w:right="80" w:firstLine="634"/>
      </w:pPr>
      <w:r>
        <w:rPr>
          <w:rFonts w:ascii="黑体" w:hAnsi="黑体" w:eastAsia="黑体" w:cs="黑体"/>
          <w:spacing w:val="17"/>
        </w:rPr>
        <w:t xml:space="preserve">第二十四条  </w:t>
      </w:r>
      <w:r>
        <w:rPr>
          <w:spacing w:val="17"/>
        </w:rPr>
        <w:t>建设保障性租赁住房的集体经营性建设用地</w:t>
      </w:r>
      <w:r>
        <w:rPr>
          <w:spacing w:val="4"/>
        </w:rPr>
        <w:t>使用权可以办理抵押贷款。</w:t>
      </w:r>
    </w:p>
    <w:p w14:paraId="5135873C">
      <w:pPr>
        <w:pStyle w:val="2"/>
        <w:spacing w:before="217" w:line="304" w:lineRule="auto"/>
        <w:ind w:left="10" w:right="80" w:firstLine="624"/>
      </w:pPr>
      <w:r>
        <w:rPr>
          <w:rFonts w:ascii="黑体" w:hAnsi="黑体" w:eastAsia="黑体" w:cs="黑体"/>
          <w:spacing w:val="17"/>
        </w:rPr>
        <w:t xml:space="preserve">第二十五条  </w:t>
      </w:r>
      <w:r>
        <w:rPr>
          <w:spacing w:val="17"/>
        </w:rPr>
        <w:t>鼓励将产业园区中各工业项目的配套比例对</w:t>
      </w:r>
      <w:r>
        <w:rPr>
          <w:spacing w:val="5"/>
        </w:rPr>
        <w:t>应的用地面积或者建筑面积集中后，统一建设宿舍型保障性租赁</w:t>
      </w:r>
      <w:r>
        <w:rPr>
          <w:spacing w:val="3"/>
        </w:rPr>
        <w:t>住房，打造工业邻里中心。</w:t>
      </w:r>
    </w:p>
    <w:p w14:paraId="77E61F91">
      <w:pPr>
        <w:pStyle w:val="2"/>
        <w:spacing w:before="212" w:line="346" w:lineRule="auto"/>
        <w:ind w:left="10" w:right="82" w:firstLine="628"/>
        <w:jc w:val="both"/>
      </w:pPr>
      <w:r>
        <w:rPr>
          <w:spacing w:val="5"/>
        </w:rPr>
        <w:t>在确保安全的前提下，可将产业园区中工业项目配套建设行政办公及生活服务设施的用地面积占项目总用地面积的比例上限</w:t>
      </w:r>
      <w:r>
        <w:rPr>
          <w:spacing w:val="-4"/>
        </w:rPr>
        <w:t>由</w:t>
      </w:r>
      <w:r>
        <w:rPr>
          <w:spacing w:val="-51"/>
        </w:rPr>
        <w:t xml:space="preserve"> </w:t>
      </w:r>
      <w:r>
        <w:rPr>
          <w:spacing w:val="-4"/>
        </w:rPr>
        <w:t>7%提高到</w:t>
      </w:r>
      <w:r>
        <w:rPr>
          <w:spacing w:val="-46"/>
        </w:rPr>
        <w:t xml:space="preserve"> </w:t>
      </w:r>
      <w:r>
        <w:rPr>
          <w:spacing w:val="-4"/>
        </w:rPr>
        <w:t>15%，建筑面积占比上限由</w:t>
      </w:r>
      <w:r>
        <w:rPr>
          <w:spacing w:val="-44"/>
        </w:rPr>
        <w:t xml:space="preserve"> </w:t>
      </w:r>
      <w:r>
        <w:rPr>
          <w:spacing w:val="-4"/>
        </w:rPr>
        <w:t>15%提高到</w:t>
      </w:r>
      <w:r>
        <w:rPr>
          <w:spacing w:val="-40"/>
        </w:rPr>
        <w:t xml:space="preserve"> </w:t>
      </w:r>
      <w:r>
        <w:rPr>
          <w:spacing w:val="-5"/>
        </w:rPr>
        <w:t>30%，提高部分</w:t>
      </w:r>
      <w:r>
        <w:rPr>
          <w:spacing w:val="5"/>
        </w:rPr>
        <w:t>主要用于建设宿舍型保障性租赁住房，严禁建设成套商品住宅。</w:t>
      </w:r>
    </w:p>
    <w:p w14:paraId="3022C751">
      <w:pPr>
        <w:pStyle w:val="2"/>
        <w:spacing w:before="8" w:line="304" w:lineRule="auto"/>
        <w:ind w:left="7" w:right="80" w:firstLine="627"/>
      </w:pPr>
      <w:r>
        <w:rPr>
          <w:rFonts w:ascii="黑体" w:hAnsi="黑体" w:eastAsia="黑体" w:cs="黑体"/>
          <w:spacing w:val="5"/>
        </w:rPr>
        <w:t xml:space="preserve">第二十六条  </w:t>
      </w:r>
      <w:r>
        <w:rPr>
          <w:spacing w:val="5"/>
        </w:rPr>
        <w:t>将闲置和低效利用的商业办公、旅馆、科研教育等非居住存量房屋改建为保障性租赁住房的，用作保障性租赁住房期间，不变更土地使用性质，不补缴土</w:t>
      </w:r>
      <w:r>
        <w:rPr>
          <w:spacing w:val="4"/>
        </w:rPr>
        <w:t>地价款。</w:t>
      </w:r>
    </w:p>
    <w:p w14:paraId="17BB1F2D">
      <w:pPr>
        <w:pStyle w:val="2"/>
        <w:spacing w:before="210" w:line="284" w:lineRule="auto"/>
        <w:ind w:left="15" w:firstLine="619"/>
      </w:pPr>
      <w:r>
        <w:rPr>
          <w:rFonts w:ascii="黑体" w:hAnsi="黑体" w:eastAsia="黑体" w:cs="黑体"/>
          <w:spacing w:val="8"/>
        </w:rPr>
        <w:t xml:space="preserve">第二十七条  </w:t>
      </w:r>
      <w:r>
        <w:rPr>
          <w:spacing w:val="8"/>
        </w:rPr>
        <w:t>项目取得认定书后，可以享受以下税费减免，</w:t>
      </w:r>
      <w:r>
        <w:rPr>
          <w:spacing w:val="4"/>
        </w:rPr>
        <w:t>法律、法规、规章和上级文件另有规定的，从其规定：</w:t>
      </w:r>
    </w:p>
    <w:p w14:paraId="1AC9D276">
      <w:pPr>
        <w:pStyle w:val="2"/>
        <w:spacing w:before="209" w:line="326" w:lineRule="auto"/>
        <w:ind w:left="1" w:right="76" w:firstLine="625"/>
      </w:pPr>
      <w:r>
        <w:rPr>
          <w:spacing w:val="5"/>
        </w:rPr>
        <w:t>（一）住房租赁企业中的增值税一般纳税人向个人出租保障性租赁住房取得的全部出租收入，可以选择适用简易计税方法，</w:t>
      </w:r>
      <w:r>
        <w:rPr>
          <w:spacing w:val="-2"/>
        </w:rPr>
        <w:t>按照</w:t>
      </w:r>
      <w:r>
        <w:rPr>
          <w:spacing w:val="-47"/>
        </w:rPr>
        <w:t xml:space="preserve"> </w:t>
      </w:r>
      <w:r>
        <w:rPr>
          <w:spacing w:val="-2"/>
        </w:rPr>
        <w:t>5%的征收率减按</w:t>
      </w:r>
      <w:r>
        <w:rPr>
          <w:spacing w:val="-45"/>
        </w:rPr>
        <w:t xml:space="preserve"> </w:t>
      </w:r>
      <w:r>
        <w:rPr>
          <w:spacing w:val="-2"/>
        </w:rPr>
        <w:t>1.5%计算缴纳增值税，或者适用一般计税方</w:t>
      </w:r>
      <w:r>
        <w:rPr>
          <w:spacing w:val="5"/>
        </w:rPr>
        <w:t>法计算缴纳增值税。住房租赁企业中的增值税小规模纳税人向个</w:t>
      </w:r>
      <w:r>
        <w:rPr>
          <w:spacing w:val="-2"/>
        </w:rPr>
        <w:t>人出租保障性租赁住房，按照</w:t>
      </w:r>
      <w:r>
        <w:rPr>
          <w:spacing w:val="-44"/>
        </w:rPr>
        <w:t xml:space="preserve"> </w:t>
      </w:r>
      <w:r>
        <w:rPr>
          <w:spacing w:val="-2"/>
        </w:rPr>
        <w:t>5%的征收率减按</w:t>
      </w:r>
      <w:r>
        <w:rPr>
          <w:spacing w:val="-45"/>
        </w:rPr>
        <w:t xml:space="preserve"> </w:t>
      </w:r>
      <w:r>
        <w:rPr>
          <w:spacing w:val="-2"/>
        </w:rPr>
        <w:t>1.5%计算缴纳增值</w:t>
      </w:r>
      <w:r>
        <w:rPr>
          <w:spacing w:val="-21"/>
        </w:rPr>
        <w:t>税；</w:t>
      </w:r>
    </w:p>
    <w:p w14:paraId="006CF029">
      <w:pPr>
        <w:pStyle w:val="2"/>
        <w:spacing w:before="209" w:line="284" w:lineRule="auto"/>
        <w:ind w:left="13" w:right="79" w:firstLine="613"/>
      </w:pPr>
      <w:r>
        <w:rPr>
          <w:spacing w:val="5"/>
        </w:rPr>
        <w:t>（二）企事业单位、社会团体以及其他组织向个人、专业化</w:t>
      </w:r>
      <w:r>
        <w:rPr>
          <w:spacing w:val="1"/>
        </w:rPr>
        <w:t>规模化住房租赁企业出租保障性租赁住房的，减按</w:t>
      </w:r>
      <w:r>
        <w:rPr>
          <w:spacing w:val="-40"/>
        </w:rPr>
        <w:t xml:space="preserve"> </w:t>
      </w:r>
      <w:r>
        <w:rPr>
          <w:spacing w:val="1"/>
        </w:rPr>
        <w:t>4%的税率征收</w:t>
      </w:r>
    </w:p>
    <w:p w14:paraId="08A776A8">
      <w:pPr>
        <w:spacing w:line="284" w:lineRule="auto"/>
        <w:sectPr>
          <w:footerReference r:id="rId13" w:type="default"/>
          <w:pgSz w:w="11907" w:h="16839"/>
          <w:pgMar w:top="1431" w:right="1390" w:bottom="1842" w:left="1597" w:header="0" w:footer="1477" w:gutter="0"/>
          <w:cols w:space="720" w:num="1"/>
        </w:sectPr>
      </w:pPr>
    </w:p>
    <w:p w14:paraId="342A2AD5">
      <w:pPr>
        <w:spacing w:line="317" w:lineRule="auto"/>
        <w:rPr>
          <w:rFonts w:ascii="Arial"/>
          <w:sz w:val="21"/>
        </w:rPr>
      </w:pPr>
    </w:p>
    <w:p w14:paraId="391AA7D8">
      <w:pPr>
        <w:spacing w:line="318" w:lineRule="auto"/>
        <w:rPr>
          <w:rFonts w:ascii="Arial"/>
          <w:sz w:val="21"/>
        </w:rPr>
      </w:pPr>
    </w:p>
    <w:p w14:paraId="3EEBCCF3">
      <w:pPr>
        <w:pStyle w:val="2"/>
        <w:spacing w:before="101" w:line="221" w:lineRule="auto"/>
        <w:ind w:left="15"/>
      </w:pPr>
      <w:r>
        <w:t>房产税；</w:t>
      </w:r>
    </w:p>
    <w:p w14:paraId="57CFD6E8">
      <w:pPr>
        <w:pStyle w:val="2"/>
        <w:spacing w:before="212" w:line="220" w:lineRule="auto"/>
        <w:jc w:val="right"/>
      </w:pPr>
      <w:r>
        <w:rPr>
          <w:spacing w:val="9"/>
        </w:rPr>
        <w:t>（三）保障性租赁住房建设项目免收城市基础设</w:t>
      </w:r>
      <w:r>
        <w:rPr>
          <w:spacing w:val="8"/>
        </w:rPr>
        <w:t>施配套费。</w:t>
      </w:r>
    </w:p>
    <w:p w14:paraId="21C4023A">
      <w:pPr>
        <w:pStyle w:val="2"/>
        <w:spacing w:before="209" w:line="347" w:lineRule="auto"/>
        <w:ind w:right="83" w:firstLine="638"/>
      </w:pPr>
      <w:r>
        <w:rPr>
          <w:rFonts w:ascii="黑体" w:hAnsi="黑体" w:eastAsia="黑体" w:cs="黑体"/>
          <w:spacing w:val="5"/>
        </w:rPr>
        <w:t xml:space="preserve">第二十八条  </w:t>
      </w:r>
      <w:r>
        <w:rPr>
          <w:spacing w:val="5"/>
        </w:rPr>
        <w:t>保障性租赁住房的用水、用电、用气价格按照居民标准执行。存在混合性质情况的，应当分表计量；无法分表计量的，由供电企业根据不同电价类别用电量比例，执行分类电</w:t>
      </w:r>
      <w:r>
        <w:rPr>
          <w:spacing w:val="-15"/>
        </w:rPr>
        <w:t>价。</w:t>
      </w:r>
    </w:p>
    <w:p w14:paraId="1A39CD2A">
      <w:pPr>
        <w:pStyle w:val="2"/>
        <w:spacing w:before="2" w:line="346" w:lineRule="auto"/>
        <w:ind w:left="15" w:right="88" w:firstLine="629"/>
      </w:pPr>
      <w:r>
        <w:rPr>
          <w:spacing w:val="17"/>
        </w:rPr>
        <w:t>租住保障性租赁住房提取公积金按照本市缴存职工租赁住</w:t>
      </w:r>
      <w:r>
        <w:rPr>
          <w:spacing w:val="4"/>
        </w:rPr>
        <w:t>房提取公积金有关规定执行。</w:t>
      </w:r>
    </w:p>
    <w:p w14:paraId="053340D8">
      <w:pPr>
        <w:pStyle w:val="2"/>
        <w:spacing w:before="1" w:line="346" w:lineRule="auto"/>
        <w:ind w:left="21" w:right="83" w:firstLine="617"/>
      </w:pPr>
      <w:r>
        <w:rPr>
          <w:rFonts w:ascii="黑体" w:hAnsi="黑体" w:eastAsia="黑体" w:cs="黑体"/>
          <w:spacing w:val="5"/>
        </w:rPr>
        <w:t xml:space="preserve">第二十九条  </w:t>
      </w:r>
      <w:r>
        <w:rPr>
          <w:spacing w:val="5"/>
        </w:rPr>
        <w:t>符合条件的项目申请、使用中央和省级财政相</w:t>
      </w:r>
      <w:r>
        <w:rPr>
          <w:spacing w:val="4"/>
        </w:rPr>
        <w:t>关补助资金的具体流程，按照上级有关规定执行。</w:t>
      </w:r>
    </w:p>
    <w:p w14:paraId="56C93BF8">
      <w:pPr>
        <w:pStyle w:val="2"/>
        <w:spacing w:line="347" w:lineRule="auto"/>
        <w:ind w:left="11" w:right="85" w:firstLine="626"/>
        <w:jc w:val="both"/>
      </w:pPr>
      <w:r>
        <w:rPr>
          <w:spacing w:val="5"/>
        </w:rPr>
        <w:t>各县级市（区）应当加大对保障性租赁住房的支持力度，有条件的县级市（区）可以对保障性租赁住房建设项目给予贷款贴</w:t>
      </w:r>
      <w:r>
        <w:rPr>
          <w:spacing w:val="-18"/>
        </w:rPr>
        <w:t>息。</w:t>
      </w:r>
    </w:p>
    <w:p w14:paraId="66C82FD8">
      <w:pPr>
        <w:pStyle w:val="2"/>
        <w:spacing w:before="3" w:line="346" w:lineRule="auto"/>
        <w:ind w:left="13" w:right="84" w:firstLine="624"/>
        <w:jc w:val="both"/>
      </w:pPr>
      <w:r>
        <w:rPr>
          <w:rFonts w:ascii="黑体" w:hAnsi="黑体" w:eastAsia="黑体" w:cs="黑体"/>
          <w:spacing w:val="5"/>
        </w:rPr>
        <w:t xml:space="preserve">第三十条  </w:t>
      </w:r>
      <w:r>
        <w:rPr>
          <w:spacing w:val="5"/>
        </w:rPr>
        <w:t>充分运用金融手段和金融工具，支持发展保障性租赁住房的建设运营，吸引调动市场资金，为保障性租赁住房项目提供低成本、长期性的稳定资金支持。支持符合条件的保障性租赁住房项目发行基础设施领域不动产投资信托基金和房地产投</w:t>
      </w:r>
      <w:r>
        <w:t>资信托基金（REITs）。</w:t>
      </w:r>
    </w:p>
    <w:p w14:paraId="6D6BE7EC">
      <w:pPr>
        <w:spacing w:before="291" w:line="224" w:lineRule="auto"/>
        <w:ind w:left="3166"/>
        <w:outlineLvl w:val="2"/>
        <w:rPr>
          <w:rFonts w:ascii="黑体" w:hAnsi="黑体" w:eastAsia="黑体" w:cs="黑体"/>
          <w:sz w:val="31"/>
          <w:szCs w:val="31"/>
        </w:rPr>
      </w:pPr>
      <w:r>
        <w:rPr>
          <w:rFonts w:ascii="黑体" w:hAnsi="黑体" w:eastAsia="黑体" w:cs="黑体"/>
          <w:spacing w:val="4"/>
          <w:sz w:val="31"/>
          <w:szCs w:val="31"/>
        </w:rPr>
        <w:t>第五章  项目监管</w:t>
      </w:r>
    </w:p>
    <w:p w14:paraId="50117CAF">
      <w:pPr>
        <w:spacing w:line="395" w:lineRule="auto"/>
        <w:rPr>
          <w:rFonts w:ascii="Arial"/>
          <w:sz w:val="21"/>
        </w:rPr>
      </w:pPr>
    </w:p>
    <w:p w14:paraId="101C9CA5">
      <w:pPr>
        <w:pStyle w:val="2"/>
        <w:spacing w:before="101" w:line="346" w:lineRule="auto"/>
        <w:ind w:left="11" w:firstLine="627"/>
      </w:pPr>
      <w:r>
        <w:rPr>
          <w:rFonts w:ascii="黑体" w:hAnsi="黑体" w:eastAsia="黑体" w:cs="黑体"/>
          <w:spacing w:val="5"/>
        </w:rPr>
        <w:t xml:space="preserve">第三十一条  </w:t>
      </w:r>
      <w:r>
        <w:rPr>
          <w:spacing w:val="5"/>
        </w:rPr>
        <w:t>各县级市（区）住房和城乡建设部门应当督促</w:t>
      </w:r>
      <w:r>
        <w:rPr>
          <w:spacing w:val="-1"/>
        </w:rPr>
        <w:t>指导新建的保障性租赁住房项目在竣工验收合格之日起</w:t>
      </w:r>
      <w:r>
        <w:rPr>
          <w:spacing w:val="-48"/>
        </w:rPr>
        <w:t xml:space="preserve"> </w:t>
      </w:r>
      <w:r>
        <w:rPr>
          <w:spacing w:val="-1"/>
        </w:rPr>
        <w:t>60 日内，</w:t>
      </w:r>
    </w:p>
    <w:p w14:paraId="40A81A42">
      <w:pPr>
        <w:spacing w:line="346" w:lineRule="auto"/>
        <w:sectPr>
          <w:footerReference r:id="rId14" w:type="default"/>
          <w:pgSz w:w="11907" w:h="16839"/>
          <w:pgMar w:top="1431" w:right="1503" w:bottom="1842" w:left="1479" w:header="0" w:footer="1477" w:gutter="0"/>
          <w:cols w:space="720" w:num="1"/>
        </w:sectPr>
      </w:pPr>
    </w:p>
    <w:p w14:paraId="3C81F898">
      <w:pPr>
        <w:spacing w:line="317" w:lineRule="auto"/>
        <w:rPr>
          <w:rFonts w:ascii="Arial"/>
          <w:sz w:val="21"/>
        </w:rPr>
      </w:pPr>
    </w:p>
    <w:p w14:paraId="05D1E93D">
      <w:pPr>
        <w:spacing w:line="318" w:lineRule="auto"/>
        <w:rPr>
          <w:rFonts w:ascii="Arial"/>
          <w:sz w:val="21"/>
        </w:rPr>
      </w:pPr>
    </w:p>
    <w:p w14:paraId="507DA767">
      <w:pPr>
        <w:pStyle w:val="2"/>
        <w:spacing w:before="101" w:line="346" w:lineRule="auto"/>
        <w:ind w:left="17" w:firstLine="37"/>
        <w:jc w:val="both"/>
      </w:pPr>
      <w:r>
        <w:rPr>
          <w:spacing w:val="4"/>
        </w:rPr>
        <w:t>申请办理不动产登记相关手续。新建保障性</w:t>
      </w:r>
      <w:r>
        <w:rPr>
          <w:spacing w:val="3"/>
        </w:rPr>
        <w:t>租赁住房项目符合不</w:t>
      </w:r>
      <w:r>
        <w:rPr>
          <w:spacing w:val="-5"/>
        </w:rPr>
        <w:t>动产首次登记条件的，不动产登记机构应当在</w:t>
      </w:r>
      <w:r>
        <w:rPr>
          <w:spacing w:val="-31"/>
        </w:rPr>
        <w:t xml:space="preserve"> </w:t>
      </w:r>
      <w:r>
        <w:rPr>
          <w:spacing w:val="-5"/>
        </w:rPr>
        <w:t>5</w:t>
      </w:r>
      <w:r>
        <w:rPr>
          <w:spacing w:val="-65"/>
        </w:rPr>
        <w:t xml:space="preserve"> </w:t>
      </w:r>
      <w:r>
        <w:rPr>
          <w:spacing w:val="-5"/>
        </w:rPr>
        <w:t>个工作日内办结，</w:t>
      </w:r>
      <w:r>
        <w:rPr>
          <w:spacing w:val="5"/>
        </w:rPr>
        <w:t>并在不动产登记簿及权属证书附记栏注明“保障性租赁</w:t>
      </w:r>
      <w:r>
        <w:rPr>
          <w:spacing w:val="4"/>
        </w:rPr>
        <w:t>住房”。</w:t>
      </w:r>
    </w:p>
    <w:p w14:paraId="4C8FBFB5">
      <w:pPr>
        <w:pStyle w:val="2"/>
        <w:spacing w:before="2" w:line="283" w:lineRule="auto"/>
        <w:ind w:left="1" w:right="1" w:firstLine="637"/>
      </w:pPr>
      <w:r>
        <w:rPr>
          <w:rFonts w:ascii="黑体" w:hAnsi="黑体" w:eastAsia="黑体" w:cs="黑体"/>
          <w:spacing w:val="8"/>
        </w:rPr>
        <w:t xml:space="preserve">第三十二条  </w:t>
      </w:r>
      <w:r>
        <w:rPr>
          <w:spacing w:val="8"/>
        </w:rPr>
        <w:t>保障性租赁住房不得上市销售或者变相销售，</w:t>
      </w:r>
      <w:r>
        <w:rPr>
          <w:spacing w:val="5"/>
        </w:rPr>
        <w:t>严禁以保障性租赁住房为名违规经营或者骗取优惠政策。</w:t>
      </w:r>
    </w:p>
    <w:p w14:paraId="647BE83E">
      <w:pPr>
        <w:pStyle w:val="2"/>
        <w:spacing w:before="212" w:line="315" w:lineRule="auto"/>
        <w:ind w:left="1" w:right="82" w:firstLine="637"/>
      </w:pPr>
      <w:r>
        <w:rPr>
          <w:rFonts w:ascii="黑体" w:hAnsi="黑体" w:eastAsia="黑体" w:cs="黑体"/>
          <w:spacing w:val="5"/>
        </w:rPr>
        <w:t xml:space="preserve">第三十三条  </w:t>
      </w:r>
      <w:r>
        <w:rPr>
          <w:spacing w:val="5"/>
        </w:rPr>
        <w:t>使用中央、省级财政保障性安居工程补助资金和中央预算内投资的项目，应当严格执行有关法律法规和政策要求，专款专用、专账管理，不得擅自改变建设内容和建设规模，严禁转移、侵占或者挪用。</w:t>
      </w:r>
    </w:p>
    <w:p w14:paraId="25B13A13">
      <w:pPr>
        <w:pStyle w:val="2"/>
        <w:spacing w:before="217" w:line="304" w:lineRule="auto"/>
        <w:ind w:left="15" w:right="81" w:firstLine="623"/>
      </w:pPr>
      <w:r>
        <w:rPr>
          <w:rFonts w:ascii="黑体" w:hAnsi="黑体" w:eastAsia="黑体" w:cs="黑体"/>
          <w:spacing w:val="5"/>
        </w:rPr>
        <w:t xml:space="preserve">第三十四条  </w:t>
      </w:r>
      <w:r>
        <w:rPr>
          <w:spacing w:val="5"/>
        </w:rPr>
        <w:t>加强运营单位的招引。保障性租赁住房项目通过验收后应当确定项目运营主体，并向各县级市（区）住房和城乡建设部门进行信息归集，纳入保障性租赁住房</w:t>
      </w:r>
      <w:r>
        <w:rPr>
          <w:spacing w:val="4"/>
        </w:rPr>
        <w:t>平台管理。</w:t>
      </w:r>
    </w:p>
    <w:p w14:paraId="6D0C4C5C">
      <w:pPr>
        <w:pStyle w:val="2"/>
        <w:spacing w:before="213" w:line="346" w:lineRule="auto"/>
        <w:ind w:left="15" w:right="83" w:firstLine="627"/>
      </w:pPr>
      <w:r>
        <w:rPr>
          <w:spacing w:val="5"/>
        </w:rPr>
        <w:t>项目运营主体应当在租赁合同签订、变更或者终止后，按照有关规定及时将信息录入相关住房租赁信息服务与监</w:t>
      </w:r>
      <w:r>
        <w:rPr>
          <w:spacing w:val="4"/>
        </w:rPr>
        <w:t>管平台。</w:t>
      </w:r>
    </w:p>
    <w:p w14:paraId="5D66BF8E">
      <w:pPr>
        <w:pStyle w:val="2"/>
        <w:spacing w:before="2" w:line="346" w:lineRule="auto"/>
        <w:ind w:left="17" w:right="83" w:firstLine="619"/>
      </w:pPr>
      <w:r>
        <w:rPr>
          <w:spacing w:val="5"/>
        </w:rPr>
        <w:t>各县级市（区）住房和城乡建设部门应当及时将项目房源情</w:t>
      </w:r>
      <w:r>
        <w:rPr>
          <w:spacing w:val="4"/>
        </w:rPr>
        <w:t>况及租金价格等信息报市住房城乡建设局进行归集。</w:t>
      </w:r>
    </w:p>
    <w:p w14:paraId="699FDFD7">
      <w:pPr>
        <w:pStyle w:val="2"/>
        <w:spacing w:before="2" w:line="284" w:lineRule="auto"/>
        <w:ind w:left="40" w:right="82" w:firstLine="598"/>
      </w:pPr>
      <w:r>
        <w:rPr>
          <w:rFonts w:ascii="黑体" w:hAnsi="黑体" w:eastAsia="黑体" w:cs="黑体"/>
          <w:spacing w:val="5"/>
        </w:rPr>
        <w:t xml:space="preserve">第三十五条  </w:t>
      </w:r>
      <w:r>
        <w:rPr>
          <w:spacing w:val="5"/>
        </w:rPr>
        <w:t>项目土地使用年限期满的，应当按土地出让合</w:t>
      </w:r>
      <w:r>
        <w:rPr>
          <w:spacing w:val="3"/>
        </w:rPr>
        <w:t>同执行，法律法规另有规定的，从其规定。</w:t>
      </w:r>
    </w:p>
    <w:p w14:paraId="698D2DF7">
      <w:pPr>
        <w:pStyle w:val="2"/>
        <w:spacing w:before="210" w:line="315" w:lineRule="auto"/>
        <w:ind w:right="81" w:firstLine="638"/>
      </w:pPr>
      <w:r>
        <w:rPr>
          <w:rFonts w:ascii="黑体" w:hAnsi="黑体" w:eastAsia="黑体" w:cs="黑体"/>
          <w:spacing w:val="17"/>
        </w:rPr>
        <w:t xml:space="preserve">第三十六条  </w:t>
      </w:r>
      <w:r>
        <w:rPr>
          <w:spacing w:val="17"/>
        </w:rPr>
        <w:t>保障性租赁住房的安全管理、使用管理按照</w:t>
      </w:r>
      <w:r>
        <w:rPr>
          <w:spacing w:val="6"/>
        </w:rPr>
        <w:t>《江苏省城市房地产交易管理条例》《江苏省消</w:t>
      </w:r>
      <w:r>
        <w:rPr>
          <w:spacing w:val="5"/>
        </w:rPr>
        <w:t>防条例》《苏州</w:t>
      </w:r>
      <w:r>
        <w:rPr>
          <w:spacing w:val="-5"/>
        </w:rPr>
        <w:t>市房屋使用安全管理条例》《苏州市出租房</w:t>
      </w:r>
      <w:r>
        <w:rPr>
          <w:spacing w:val="-6"/>
        </w:rPr>
        <w:t>屋居住安全管理条例》</w:t>
      </w:r>
      <w:r>
        <w:rPr>
          <w:spacing w:val="4"/>
        </w:rPr>
        <w:t>等规定执行。</w:t>
      </w:r>
    </w:p>
    <w:p w14:paraId="0ABDE1ED">
      <w:pPr>
        <w:spacing w:line="315" w:lineRule="auto"/>
        <w:sectPr>
          <w:footerReference r:id="rId15" w:type="default"/>
          <w:pgSz w:w="11907" w:h="16839"/>
          <w:pgMar w:top="1431" w:right="1389" w:bottom="1842" w:left="1593" w:header="0" w:footer="1475" w:gutter="0"/>
          <w:cols w:space="720" w:num="1"/>
        </w:sectPr>
      </w:pPr>
    </w:p>
    <w:p w14:paraId="0B4344FC">
      <w:pPr>
        <w:spacing w:line="317" w:lineRule="auto"/>
        <w:rPr>
          <w:rFonts w:ascii="Arial"/>
          <w:sz w:val="21"/>
        </w:rPr>
      </w:pPr>
    </w:p>
    <w:p w14:paraId="1D94F8D6">
      <w:pPr>
        <w:spacing w:line="318" w:lineRule="auto"/>
        <w:rPr>
          <w:rFonts w:ascii="Arial"/>
          <w:sz w:val="21"/>
        </w:rPr>
      </w:pPr>
    </w:p>
    <w:p w14:paraId="2FDB6328">
      <w:pPr>
        <w:pStyle w:val="2"/>
        <w:spacing w:before="101" w:line="346" w:lineRule="auto"/>
        <w:ind w:left="30" w:right="1" w:firstLine="627"/>
        <w:jc w:val="both"/>
      </w:pPr>
      <w:r>
        <w:rPr>
          <w:rFonts w:ascii="黑体" w:hAnsi="黑体" w:eastAsia="黑体" w:cs="黑体"/>
          <w:spacing w:val="5"/>
        </w:rPr>
        <w:t xml:space="preserve">第三十七条  </w:t>
      </w:r>
      <w:r>
        <w:rPr>
          <w:spacing w:val="5"/>
        </w:rPr>
        <w:t>各县级市（区）住房和城乡建设部门应当加强对保障性租赁住房项目的监督管理，加强社区工作人员的下沉管理，发现相关违法违规线索的，应当及时将信息推送有关部门。</w:t>
      </w:r>
    </w:p>
    <w:p w14:paraId="2BBFE06C">
      <w:pPr>
        <w:pStyle w:val="2"/>
        <w:spacing w:before="5" w:line="346" w:lineRule="auto"/>
        <w:ind w:left="26" w:right="2" w:firstLine="637"/>
        <w:jc w:val="both"/>
      </w:pPr>
      <w:r>
        <w:rPr>
          <w:spacing w:val="5"/>
        </w:rPr>
        <w:t>对违反法律、法规或者未遵守项目建设与管理承诺书的项目运营主体，应当责令其全额退还享受的相关奖补资金，并由有关部门依法查处。涉嫌犯罪的，移送司法机关依法处理。</w:t>
      </w:r>
    </w:p>
    <w:p w14:paraId="6E9CE280">
      <w:pPr>
        <w:spacing w:before="292" w:line="224" w:lineRule="auto"/>
        <w:ind w:left="3344"/>
        <w:outlineLvl w:val="2"/>
        <w:rPr>
          <w:rFonts w:ascii="黑体" w:hAnsi="黑体" w:eastAsia="黑体" w:cs="黑体"/>
          <w:sz w:val="31"/>
          <w:szCs w:val="31"/>
        </w:rPr>
      </w:pPr>
      <w:r>
        <w:rPr>
          <w:rFonts w:ascii="黑体" w:hAnsi="黑体" w:eastAsia="黑体" w:cs="黑体"/>
          <w:spacing w:val="-3"/>
          <w:sz w:val="31"/>
          <w:szCs w:val="31"/>
        </w:rPr>
        <w:t>第六章</w:t>
      </w:r>
      <w:r>
        <w:rPr>
          <w:rFonts w:ascii="黑体" w:hAnsi="黑体" w:eastAsia="黑体" w:cs="黑体"/>
          <w:spacing w:val="16"/>
          <w:sz w:val="31"/>
          <w:szCs w:val="31"/>
        </w:rPr>
        <w:t xml:space="preserve">  </w:t>
      </w:r>
      <w:r>
        <w:rPr>
          <w:rFonts w:ascii="黑体" w:hAnsi="黑体" w:eastAsia="黑体" w:cs="黑体"/>
          <w:spacing w:val="-3"/>
          <w:sz w:val="31"/>
          <w:szCs w:val="31"/>
        </w:rPr>
        <w:t>附</w:t>
      </w:r>
      <w:r>
        <w:rPr>
          <w:rFonts w:ascii="黑体" w:hAnsi="黑体" w:eastAsia="黑体" w:cs="黑体"/>
          <w:spacing w:val="8"/>
          <w:sz w:val="31"/>
          <w:szCs w:val="31"/>
        </w:rPr>
        <w:t xml:space="preserve">  </w:t>
      </w:r>
      <w:r>
        <w:rPr>
          <w:rFonts w:ascii="黑体" w:hAnsi="黑体" w:eastAsia="黑体" w:cs="黑体"/>
          <w:spacing w:val="-3"/>
          <w:sz w:val="31"/>
          <w:szCs w:val="31"/>
        </w:rPr>
        <w:t>则</w:t>
      </w:r>
    </w:p>
    <w:p w14:paraId="408D0354">
      <w:pPr>
        <w:spacing w:line="392" w:lineRule="auto"/>
        <w:rPr>
          <w:rFonts w:ascii="Arial"/>
          <w:sz w:val="21"/>
        </w:rPr>
      </w:pPr>
    </w:p>
    <w:p w14:paraId="3E2EF98A">
      <w:pPr>
        <w:pStyle w:val="2"/>
        <w:spacing w:before="101" w:line="285" w:lineRule="auto"/>
        <w:ind w:left="53" w:right="1" w:firstLine="604"/>
      </w:pPr>
      <w:r>
        <w:rPr>
          <w:rFonts w:ascii="黑体" w:hAnsi="黑体" w:eastAsia="黑体" w:cs="黑体"/>
          <w:spacing w:val="5"/>
        </w:rPr>
        <w:t xml:space="preserve">第三十八条  </w:t>
      </w:r>
      <w:r>
        <w:rPr>
          <w:spacing w:val="5"/>
        </w:rPr>
        <w:t>各县级市（区）可以按照本办法，结合各自实</w:t>
      </w:r>
      <w:r>
        <w:rPr>
          <w:spacing w:val="1"/>
        </w:rPr>
        <w:t>际，制定工作细则。</w:t>
      </w:r>
    </w:p>
    <w:p w14:paraId="16960BF6">
      <w:pPr>
        <w:pStyle w:val="2"/>
        <w:spacing w:before="209" w:line="284" w:lineRule="auto"/>
        <w:ind w:left="39" w:firstLine="618"/>
      </w:pPr>
      <w:r>
        <w:rPr>
          <w:rFonts w:ascii="黑体" w:hAnsi="黑体" w:eastAsia="黑体" w:cs="黑体"/>
          <w:spacing w:val="-2"/>
        </w:rPr>
        <w:t xml:space="preserve">第三十九条  </w:t>
      </w:r>
      <w:r>
        <w:rPr>
          <w:spacing w:val="-2"/>
        </w:rPr>
        <w:t>本办法自</w:t>
      </w:r>
      <w:r>
        <w:rPr>
          <w:spacing w:val="-53"/>
        </w:rPr>
        <w:t xml:space="preserve"> </w:t>
      </w:r>
      <w:r>
        <w:rPr>
          <w:spacing w:val="-2"/>
        </w:rPr>
        <w:t>2025</w:t>
      </w:r>
      <w:r>
        <w:rPr>
          <w:spacing w:val="-63"/>
        </w:rPr>
        <w:t xml:space="preserve"> </w:t>
      </w:r>
      <w:r>
        <w:rPr>
          <w:spacing w:val="-2"/>
        </w:rPr>
        <w:t>年</w:t>
      </w:r>
      <w:r>
        <w:rPr>
          <w:spacing w:val="-45"/>
        </w:rPr>
        <w:t xml:space="preserve"> </w:t>
      </w:r>
      <w:r>
        <w:rPr>
          <w:spacing w:val="-2"/>
        </w:rPr>
        <w:t>10</w:t>
      </w:r>
      <w:r>
        <w:rPr>
          <w:spacing w:val="-51"/>
        </w:rPr>
        <w:t xml:space="preserve"> </w:t>
      </w:r>
      <w:r>
        <w:rPr>
          <w:spacing w:val="-2"/>
        </w:rPr>
        <w:t>月</w:t>
      </w:r>
      <w:r>
        <w:rPr>
          <w:spacing w:val="-48"/>
        </w:rPr>
        <w:t xml:space="preserve"> </w:t>
      </w:r>
      <w:r>
        <w:rPr>
          <w:spacing w:val="-2"/>
        </w:rPr>
        <w:t>9 日起实施，有</w:t>
      </w:r>
      <w:r>
        <w:rPr>
          <w:spacing w:val="-3"/>
        </w:rPr>
        <w:t>效期至</w:t>
      </w:r>
      <w:r>
        <w:rPr>
          <w:spacing w:val="-13"/>
        </w:rPr>
        <w:t>2030</w:t>
      </w:r>
      <w:r>
        <w:rPr>
          <w:spacing w:val="-63"/>
        </w:rPr>
        <w:t xml:space="preserve"> </w:t>
      </w:r>
      <w:r>
        <w:rPr>
          <w:spacing w:val="-13"/>
        </w:rPr>
        <w:t>年</w:t>
      </w:r>
      <w:r>
        <w:rPr>
          <w:spacing w:val="-45"/>
        </w:rPr>
        <w:t xml:space="preserve"> </w:t>
      </w:r>
      <w:r>
        <w:rPr>
          <w:spacing w:val="-13"/>
        </w:rPr>
        <w:t>10</w:t>
      </w:r>
      <w:r>
        <w:rPr>
          <w:spacing w:val="-51"/>
        </w:rPr>
        <w:t xml:space="preserve"> </w:t>
      </w:r>
      <w:r>
        <w:rPr>
          <w:spacing w:val="-13"/>
        </w:rPr>
        <w:t>月</w:t>
      </w:r>
      <w:r>
        <w:rPr>
          <w:spacing w:val="-51"/>
        </w:rPr>
        <w:t xml:space="preserve"> </w:t>
      </w:r>
      <w:r>
        <w:rPr>
          <w:spacing w:val="-13"/>
        </w:rPr>
        <w:t>8 日。</w:t>
      </w:r>
    </w:p>
    <w:p w14:paraId="19C25673">
      <w:pPr>
        <w:spacing w:before="10"/>
      </w:pPr>
    </w:p>
    <w:p w14:paraId="3280D11D">
      <w:pPr>
        <w:spacing w:before="10"/>
      </w:pPr>
    </w:p>
    <w:p w14:paraId="44AC79EE">
      <w:pPr>
        <w:spacing w:before="10"/>
      </w:pPr>
    </w:p>
    <w:p w14:paraId="192FB8E3">
      <w:pPr>
        <w:spacing w:before="10"/>
      </w:pPr>
    </w:p>
    <w:p w14:paraId="5BB8B245">
      <w:pPr>
        <w:spacing w:before="10"/>
      </w:pPr>
    </w:p>
    <w:p w14:paraId="3B64700B">
      <w:pPr>
        <w:spacing w:before="10"/>
      </w:pPr>
    </w:p>
    <w:p w14:paraId="556129E1">
      <w:pPr>
        <w:spacing w:before="10"/>
      </w:pPr>
    </w:p>
    <w:p w14:paraId="3A6BEC52">
      <w:pPr>
        <w:spacing w:before="10"/>
      </w:pPr>
      <w:bookmarkStart w:id="0" w:name="_GoBack"/>
      <w:bookmarkEnd w:id="0"/>
    </w:p>
    <w:p w14:paraId="07765C67">
      <w:pPr>
        <w:spacing w:before="10"/>
      </w:pPr>
    </w:p>
    <w:p w14:paraId="7AA92270">
      <w:pPr>
        <w:spacing w:before="10"/>
      </w:pPr>
    </w:p>
    <w:p w14:paraId="07FEFCF7">
      <w:pPr>
        <w:spacing w:before="10"/>
      </w:pPr>
    </w:p>
    <w:p w14:paraId="4DE5D868">
      <w:pPr>
        <w:spacing w:before="10"/>
      </w:pPr>
    </w:p>
    <w:p w14:paraId="2149785E">
      <w:pPr>
        <w:spacing w:before="10"/>
      </w:pPr>
    </w:p>
    <w:p w14:paraId="1CD90151">
      <w:pPr>
        <w:spacing w:before="9"/>
      </w:pPr>
    </w:p>
    <w:p w14:paraId="49453F2B">
      <w:pPr>
        <w:spacing w:line="183" w:lineRule="exact"/>
        <w:rPr>
          <w:rFonts w:ascii="Arial"/>
          <w:sz w:val="15"/>
        </w:rPr>
      </w:pPr>
    </w:p>
    <w:sectPr>
      <w:footerReference r:id="rId16" w:type="default"/>
      <w:pgSz w:w="11907" w:h="16839"/>
      <w:pgMar w:top="1431" w:right="1585" w:bottom="1842" w:left="1459" w:header="0" w:footer="147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A82A0">
    <w:pPr>
      <w:spacing w:line="235" w:lineRule="auto"/>
      <w:ind w:left="7590"/>
      <w:rPr>
        <w:rFonts w:ascii="宋体" w:hAnsi="宋体" w:eastAsia="宋体" w:cs="宋体"/>
        <w:sz w:val="28"/>
        <w:szCs w:val="28"/>
      </w:rPr>
    </w:pPr>
    <w:r>
      <w:rPr>
        <w:rFonts w:ascii="宋体" w:hAnsi="宋体" w:eastAsia="宋体" w:cs="宋体"/>
        <w:spacing w:val="-14"/>
        <w:sz w:val="28"/>
        <w:szCs w:val="28"/>
      </w:rPr>
      <w:t>—</w:t>
    </w:r>
    <w:r>
      <w:rPr>
        <w:rFonts w:ascii="宋体" w:hAnsi="宋体" w:eastAsia="宋体" w:cs="宋体"/>
        <w:spacing w:val="32"/>
        <w:sz w:val="28"/>
        <w:szCs w:val="28"/>
      </w:rPr>
      <w:t xml:space="preserve"> </w:t>
    </w:r>
    <w:r>
      <w:rPr>
        <w:rFonts w:ascii="宋体" w:hAnsi="宋体" w:eastAsia="宋体" w:cs="宋体"/>
        <w:spacing w:val="-14"/>
        <w:sz w:val="28"/>
        <w:szCs w:val="28"/>
      </w:rPr>
      <w:t>1</w:t>
    </w:r>
    <w:r>
      <w:rPr>
        <w:rFonts w:ascii="宋体" w:hAnsi="宋体" w:eastAsia="宋体" w:cs="宋体"/>
        <w:spacing w:val="9"/>
        <w:sz w:val="28"/>
        <w:szCs w:val="28"/>
      </w:rPr>
      <w:t xml:space="preserve"> </w:t>
    </w:r>
    <w:r>
      <w:rPr>
        <w:rFonts w:ascii="宋体" w:hAnsi="宋体" w:eastAsia="宋体" w:cs="宋体"/>
        <w:spacing w:val="-14"/>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169F8">
    <w:pPr>
      <w:spacing w:line="235" w:lineRule="auto"/>
      <w:ind w:left="318"/>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2</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41224">
    <w:pPr>
      <w:spacing w:line="233" w:lineRule="auto"/>
      <w:ind w:left="755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3</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7C012">
    <w:pPr>
      <w:spacing w:line="235" w:lineRule="auto"/>
      <w:ind w:left="319"/>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8"/>
        <w:sz w:val="28"/>
        <w:szCs w:val="28"/>
      </w:rPr>
      <w:t xml:space="preserve"> </w:t>
    </w:r>
    <w:r>
      <w:rPr>
        <w:rFonts w:ascii="宋体" w:hAnsi="宋体" w:eastAsia="宋体" w:cs="宋体"/>
        <w:spacing w:val="-6"/>
        <w:sz w:val="28"/>
        <w:szCs w:val="28"/>
      </w:rPr>
      <w:t>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8A14F">
    <w:pPr>
      <w:spacing w:line="233" w:lineRule="auto"/>
      <w:ind w:left="754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5</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0603F">
    <w:pPr>
      <w:spacing w:line="233" w:lineRule="auto"/>
      <w:ind w:left="319"/>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6</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10B18">
    <w:pPr>
      <w:spacing w:line="233" w:lineRule="auto"/>
      <w:ind w:left="753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7</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78C9F">
    <w:pPr>
      <w:spacing w:line="233" w:lineRule="auto"/>
      <w:ind w:left="32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1"/>
        <w:sz w:val="28"/>
        <w:szCs w:val="28"/>
      </w:rPr>
      <w:t xml:space="preserve"> </w:t>
    </w:r>
    <w:r>
      <w:rPr>
        <w:rFonts w:ascii="宋体" w:hAnsi="宋体" w:eastAsia="宋体" w:cs="宋体"/>
        <w:spacing w:val="-7"/>
        <w:sz w:val="28"/>
        <w:szCs w:val="28"/>
      </w:rPr>
      <w:t>8</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768B5">
    <w:pPr>
      <w:spacing w:line="233" w:lineRule="auto"/>
      <w:ind w:left="7547"/>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1"/>
        <w:sz w:val="28"/>
        <w:szCs w:val="28"/>
      </w:rPr>
      <w:t xml:space="preserve"> </w:t>
    </w:r>
    <w:r>
      <w:rPr>
        <w:rFonts w:ascii="宋体" w:hAnsi="宋体" w:eastAsia="宋体" w:cs="宋体"/>
        <w:spacing w:val="-7"/>
        <w:sz w:val="28"/>
        <w:szCs w:val="28"/>
      </w:rPr>
      <w:t>9</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B73FA">
    <w:pPr>
      <w:spacing w:line="233" w:lineRule="auto"/>
      <w:ind w:left="322"/>
      <w:rPr>
        <w:rFonts w:ascii="宋体" w:hAnsi="宋体" w:eastAsia="宋体" w:cs="宋体"/>
        <w:sz w:val="28"/>
        <w:szCs w:val="28"/>
      </w:rPr>
    </w:pPr>
    <w:r>
      <w:rPr>
        <w:rFonts w:ascii="宋体" w:hAnsi="宋体" w:eastAsia="宋体" w:cs="宋体"/>
        <w:spacing w:val="-10"/>
        <w:sz w:val="28"/>
        <w:szCs w:val="28"/>
      </w:rPr>
      <w:t>—</w:t>
    </w:r>
    <w:r>
      <w:rPr>
        <w:rFonts w:ascii="宋体" w:hAnsi="宋体" w:eastAsia="宋体" w:cs="宋体"/>
        <w:spacing w:val="32"/>
        <w:sz w:val="28"/>
        <w:szCs w:val="28"/>
      </w:rPr>
      <w:t xml:space="preserve"> </w:t>
    </w:r>
    <w:r>
      <w:rPr>
        <w:rFonts w:ascii="宋体" w:hAnsi="宋体" w:eastAsia="宋体" w:cs="宋体"/>
        <w:spacing w:val="-10"/>
        <w:sz w:val="28"/>
        <w:szCs w:val="28"/>
      </w:rPr>
      <w:t>10</w:t>
    </w:r>
    <w:r>
      <w:rPr>
        <w:rFonts w:ascii="宋体" w:hAnsi="宋体" w:eastAsia="宋体" w:cs="宋体"/>
        <w:spacing w:val="9"/>
        <w:sz w:val="28"/>
        <w:szCs w:val="28"/>
      </w:rPr>
      <w:t xml:space="preserve"> </w:t>
    </w:r>
    <w:r>
      <w:rPr>
        <w:rFonts w:ascii="宋体" w:hAnsi="宋体" w:eastAsia="宋体" w:cs="宋体"/>
        <w:spacing w:val="-10"/>
        <w:sz w:val="28"/>
        <w:szCs w:val="2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D578B">
    <w:pPr>
      <w:spacing w:line="235" w:lineRule="auto"/>
      <w:ind w:left="7409"/>
      <w:rPr>
        <w:rFonts w:ascii="宋体" w:hAnsi="宋体" w:eastAsia="宋体" w:cs="宋体"/>
        <w:sz w:val="28"/>
        <w:szCs w:val="28"/>
      </w:rPr>
    </w:pPr>
    <w:r>
      <w:rPr>
        <w:rFonts w:ascii="宋体" w:hAnsi="宋体" w:eastAsia="宋体" w:cs="宋体"/>
        <w:spacing w:val="-10"/>
        <w:sz w:val="28"/>
        <w:szCs w:val="28"/>
      </w:rPr>
      <w:t>—</w:t>
    </w:r>
    <w:r>
      <w:rPr>
        <w:rFonts w:ascii="宋体" w:hAnsi="宋体" w:eastAsia="宋体" w:cs="宋体"/>
        <w:spacing w:val="32"/>
        <w:sz w:val="28"/>
        <w:szCs w:val="28"/>
      </w:rPr>
      <w:t xml:space="preserve"> </w:t>
    </w:r>
    <w:r>
      <w:rPr>
        <w:rFonts w:ascii="宋体" w:hAnsi="宋体" w:eastAsia="宋体" w:cs="宋体"/>
        <w:spacing w:val="-10"/>
        <w:sz w:val="28"/>
        <w:szCs w:val="28"/>
      </w:rPr>
      <w:t>11</w:t>
    </w:r>
    <w:r>
      <w:rPr>
        <w:rFonts w:ascii="宋体" w:hAnsi="宋体" w:eastAsia="宋体" w:cs="宋体"/>
        <w:spacing w:val="9"/>
        <w:sz w:val="28"/>
        <w:szCs w:val="28"/>
      </w:rPr>
      <w:t xml:space="preserve"> </w:t>
    </w:r>
    <w:r>
      <w:rPr>
        <w:rFonts w:ascii="宋体" w:hAnsi="宋体" w:eastAsia="宋体" w:cs="宋体"/>
        <w:spacing w:val="-10"/>
        <w:sz w:val="28"/>
        <w:szCs w:val="2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C5927">
    <w:pPr>
      <w:spacing w:line="235" w:lineRule="auto"/>
      <w:ind w:left="342"/>
      <w:rPr>
        <w:rFonts w:ascii="宋体" w:hAnsi="宋体" w:eastAsia="宋体" w:cs="宋体"/>
        <w:sz w:val="28"/>
        <w:szCs w:val="28"/>
      </w:rPr>
    </w:pPr>
    <w:r>
      <w:rPr>
        <w:rFonts w:ascii="宋体" w:hAnsi="宋体" w:eastAsia="宋体" w:cs="宋体"/>
        <w:spacing w:val="-10"/>
        <w:sz w:val="28"/>
        <w:szCs w:val="28"/>
      </w:rPr>
      <w:t>—</w:t>
    </w:r>
    <w:r>
      <w:rPr>
        <w:rFonts w:ascii="宋体" w:hAnsi="宋体" w:eastAsia="宋体" w:cs="宋体"/>
        <w:spacing w:val="32"/>
        <w:sz w:val="28"/>
        <w:szCs w:val="28"/>
      </w:rPr>
      <w:t xml:space="preserve"> </w:t>
    </w:r>
    <w:r>
      <w:rPr>
        <w:rFonts w:ascii="宋体" w:hAnsi="宋体" w:eastAsia="宋体" w:cs="宋体"/>
        <w:spacing w:val="-10"/>
        <w:sz w:val="28"/>
        <w:szCs w:val="28"/>
      </w:rPr>
      <w:t>12</w:t>
    </w:r>
    <w:r>
      <w:rPr>
        <w:rFonts w:ascii="宋体" w:hAnsi="宋体" w:eastAsia="宋体" w:cs="宋体"/>
        <w:spacing w:val="9"/>
        <w:sz w:val="28"/>
        <w:szCs w:val="28"/>
      </w:rPr>
      <w:t xml:space="preserve"> </w:t>
    </w:r>
    <w:r>
      <w:rPr>
        <w:rFonts w:ascii="宋体" w:hAnsi="宋体" w:eastAsia="宋体" w:cs="宋体"/>
        <w:spacing w:val="-10"/>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0AF2801"/>
    <w:rsid w:val="3E157CEF"/>
    <w:rsid w:val="470628CB"/>
    <w:rsid w:val="558C1DDF"/>
    <w:rsid w:val="6DF85A9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FangSong_GB2312" w:hAnsi="FangSong_GB2312" w:eastAsia="FangSong_GB2312" w:cs="FangSong_GB2312"/>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5166</Words>
  <Characters>5229</Characters>
  <TotalTime>1</TotalTime>
  <ScaleCrop>false</ScaleCrop>
  <LinksUpToDate>false</LinksUpToDate>
  <CharactersWithSpaces>5371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2025-09-08T10:00:00Z</dcterms:created>
  <dc:creator>王悦</dc:creator>
  <cp:lastModifiedBy>charlene</cp:lastModifiedBy>
  <dcterms:modified xsi:type="dcterms:W3CDTF">2025-11-03T01:31:05Z</dcterms:modified>
  <dc:title>苏府规字</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2025-11-03T09:29:16Z</vt:filetime>
  </property>
  <property fmtid="{D5CDD505-2E9C-101B-9397-08002B2CF9AE}" pid="4" name="KSOTemplateDocerSaveRecord">
    <vt:lpwstr>eyJoZGlkIjoiNTU2ZDIwOTYxMzM5ZjA3NGZiYTMyN2U2Mjc5NWYzYTgiLCJ1c2VySWQiOiI2NjYxMjQ1NDYifQ==</vt:lpwstr>
  </property>
  <property fmtid="{D5CDD505-2E9C-101B-9397-08002B2CF9AE}" pid="5" name="KSOProductBuildVer">
    <vt:lpwstr>2052-12.1.0.23542</vt:lpwstr>
  </property>
  <property fmtid="{D5CDD505-2E9C-101B-9397-08002B2CF9AE}" pid="6" name="ICV">
    <vt:lpwstr>EE00526E61894613A0F8C0A4E339FD8A_12</vt:lpwstr>
  </property>
</Properties>
</file>