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87B55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方正小标宋简体"/>
          <w:color w:val="auto"/>
          <w:spacing w:val="-10"/>
          <w:sz w:val="44"/>
          <w:szCs w:val="44"/>
          <w:highlight w:val="none"/>
          <w:lang w:eastAsia="zh-CN"/>
        </w:rPr>
      </w:pPr>
      <w:r>
        <w:rPr>
          <w:rFonts w:hint="eastAsia" w:eastAsia="方正小标宋简体"/>
          <w:color w:val="auto"/>
          <w:spacing w:val="-10"/>
          <w:sz w:val="44"/>
          <w:szCs w:val="44"/>
          <w:highlight w:val="none"/>
          <w:lang w:eastAsia="zh-CN"/>
        </w:rPr>
        <w:t>关于促进</w:t>
      </w:r>
      <w:r>
        <w:rPr>
          <w:rFonts w:eastAsia="方正小标宋简体"/>
          <w:color w:val="auto"/>
          <w:spacing w:val="-10"/>
          <w:sz w:val="44"/>
          <w:szCs w:val="44"/>
          <w:highlight w:val="none"/>
        </w:rPr>
        <w:t>吴中区文体旅高质量发展</w:t>
      </w:r>
      <w:r>
        <w:rPr>
          <w:rFonts w:hint="eastAsia" w:eastAsia="方正小标宋简体"/>
          <w:color w:val="auto"/>
          <w:spacing w:val="-10"/>
          <w:sz w:val="44"/>
          <w:szCs w:val="44"/>
          <w:highlight w:val="none"/>
          <w:lang w:eastAsia="zh-CN"/>
        </w:rPr>
        <w:t>的若干</w:t>
      </w:r>
    </w:p>
    <w:p w14:paraId="66682D1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eastAsia="方正小标宋简体"/>
          <w:color w:val="auto"/>
          <w:spacing w:val="-10"/>
          <w:sz w:val="44"/>
          <w:szCs w:val="44"/>
          <w:highlight w:val="none"/>
        </w:rPr>
      </w:pPr>
      <w:r>
        <w:rPr>
          <w:rFonts w:hint="eastAsia" w:eastAsia="方正小标宋简体"/>
          <w:color w:val="auto"/>
          <w:spacing w:val="-10"/>
          <w:sz w:val="44"/>
          <w:szCs w:val="44"/>
          <w:highlight w:val="none"/>
          <w:lang w:eastAsia="zh-CN"/>
        </w:rPr>
        <w:t>政策措施</w:t>
      </w:r>
    </w:p>
    <w:p w14:paraId="05B3D52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eastAsia="楷体_GB2312"/>
          <w:color w:val="auto"/>
          <w:spacing w:val="-10"/>
          <w:highlight w:val="none"/>
        </w:rPr>
      </w:pPr>
      <w:r>
        <w:rPr>
          <w:rFonts w:hint="eastAsia" w:ascii="楷体_GB2312" w:eastAsia="楷体_GB2312"/>
          <w:color w:val="auto"/>
          <w:spacing w:val="-10"/>
          <w:highlight w:val="none"/>
        </w:rPr>
        <w:t>（</w:t>
      </w:r>
      <w:r>
        <w:rPr>
          <w:rFonts w:hint="eastAsia" w:ascii="楷体_GB2312" w:eastAsia="楷体_GB2312"/>
          <w:color w:val="auto"/>
          <w:spacing w:val="-10"/>
          <w:highlight w:val="none"/>
          <w:lang w:eastAsia="zh-CN"/>
        </w:rPr>
        <w:t>征求意见稿</w:t>
      </w:r>
      <w:r>
        <w:rPr>
          <w:rFonts w:hint="eastAsia" w:ascii="楷体_GB2312" w:eastAsia="楷体_GB2312"/>
          <w:color w:val="auto"/>
          <w:spacing w:val="-10"/>
          <w:highlight w:val="none"/>
        </w:rPr>
        <w:t>）</w:t>
      </w:r>
    </w:p>
    <w:p w14:paraId="3E852B4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eastAsia="楷体_GB2312"/>
          <w:color w:val="auto"/>
          <w:spacing w:val="-10"/>
          <w:highlight w:val="none"/>
        </w:rPr>
      </w:pPr>
    </w:p>
    <w:p w14:paraId="5853CB0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为进一步优化文体旅产业发展环境，促进全区文体旅行业提升发展，推动产业结构转型升级，提升吴中文体旅形象，根据国家、省、市有关政策意见，结合我区实际，特制定本政策。</w:t>
      </w:r>
    </w:p>
    <w:p w14:paraId="7687A388">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eastAsia="黑体"/>
          <w:bCs/>
          <w:color w:val="auto"/>
          <w:spacing w:val="-10"/>
          <w:highlight w:val="none"/>
        </w:rPr>
      </w:pPr>
      <w:r>
        <w:rPr>
          <w:rFonts w:hint="eastAsia" w:eastAsia="黑体"/>
          <w:bCs/>
          <w:color w:val="auto"/>
          <w:spacing w:val="-10"/>
          <w:highlight w:val="none"/>
        </w:rPr>
        <w:t>一、支持对象</w:t>
      </w:r>
    </w:p>
    <w:p w14:paraId="5794CAFD">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工商注册地、纳税所在地在吴中区，具有独立法人资格的文体旅行业单位及个体。</w:t>
      </w:r>
    </w:p>
    <w:p w14:paraId="4BC15196">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eastAsia="黑体"/>
          <w:bCs/>
          <w:color w:val="auto"/>
          <w:spacing w:val="-10"/>
          <w:highlight w:val="none"/>
        </w:rPr>
      </w:pPr>
      <w:r>
        <w:rPr>
          <w:rFonts w:hint="eastAsia" w:eastAsia="黑体"/>
          <w:bCs/>
          <w:color w:val="auto"/>
          <w:spacing w:val="-10"/>
          <w:highlight w:val="none"/>
          <w:lang w:eastAsia="zh-CN"/>
        </w:rPr>
        <w:t>二</w:t>
      </w:r>
      <w:r>
        <w:rPr>
          <w:rFonts w:hint="eastAsia" w:eastAsia="黑体"/>
          <w:bCs/>
          <w:color w:val="auto"/>
          <w:spacing w:val="-10"/>
          <w:highlight w:val="none"/>
        </w:rPr>
        <w:t>、扶持政策</w:t>
      </w:r>
    </w:p>
    <w:p w14:paraId="7EA3C8B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楷体_GB2312" w:eastAsia="楷体_GB2312"/>
          <w:color w:val="auto"/>
          <w:spacing w:val="-10"/>
          <w:highlight w:val="none"/>
        </w:rPr>
      </w:pPr>
      <w:r>
        <w:rPr>
          <w:rFonts w:hint="eastAsia" w:ascii="楷体_GB2312" w:eastAsia="楷体_GB2312"/>
          <w:color w:val="auto"/>
          <w:spacing w:val="-10"/>
          <w:highlight w:val="none"/>
        </w:rPr>
        <w:t>（一）强化引育，推动产业集聚发展</w:t>
      </w:r>
    </w:p>
    <w:p w14:paraId="761774FC">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1</w:t>
      </w:r>
      <w:r>
        <w:rPr>
          <w:rFonts w:hint="eastAsia" w:ascii="仿宋_GB2312" w:eastAsia="仿宋_GB2312"/>
          <w:b/>
          <w:color w:val="auto"/>
          <w:spacing w:val="-10"/>
          <w:highlight w:val="none"/>
        </w:rPr>
        <w:t>．鼓励载体提档升级</w:t>
      </w:r>
    </w:p>
    <w:p w14:paraId="07A562B1">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color w:val="auto"/>
          <w:spacing w:val="-10"/>
          <w:highlight w:val="none"/>
        </w:rPr>
      </w:pPr>
      <w:r>
        <w:rPr>
          <w:rFonts w:hint="eastAsia" w:ascii="仿宋_GB2312" w:eastAsia="仿宋_GB2312"/>
          <w:color w:val="auto"/>
          <w:spacing w:val="-10"/>
          <w:highlight w:val="none"/>
        </w:rPr>
        <w:t>对首次获评国家级、省级、市级文化或体育产业示范园区（基地）的，分别给予一次性奖励</w:t>
      </w:r>
      <w:r>
        <w:rPr>
          <w:rFonts w:hint="default" w:ascii="Times New Roman" w:hAnsi="Times New Roman" w:eastAsia="仿宋_GB2312" w:cs="Times New Roman"/>
          <w:color w:val="auto"/>
          <w:spacing w:val="-10"/>
          <w:highlight w:val="none"/>
        </w:rPr>
        <w:t>200</w:t>
      </w:r>
      <w:r>
        <w:rPr>
          <w:rFonts w:hint="eastAsia" w:ascii="仿宋_GB2312" w:eastAsia="仿宋_GB2312"/>
          <w:color w:val="auto"/>
          <w:spacing w:val="-10"/>
          <w:highlight w:val="none"/>
        </w:rPr>
        <w:t>万元、</w:t>
      </w:r>
      <w:r>
        <w:rPr>
          <w:rFonts w:hint="default" w:ascii="Times New Roman" w:hAnsi="Times New Roman" w:eastAsia="仿宋_GB2312" w:cs="Times New Roman"/>
          <w:color w:val="auto"/>
          <w:spacing w:val="-10"/>
          <w:highlight w:val="none"/>
        </w:rPr>
        <w:t>100</w:t>
      </w:r>
      <w:r>
        <w:rPr>
          <w:rFonts w:hint="eastAsia" w:ascii="仿宋_GB2312" w:eastAsia="仿宋_GB2312"/>
          <w:color w:val="auto"/>
          <w:spacing w:val="-10"/>
          <w:highlight w:val="none"/>
        </w:rPr>
        <w:t>万元和</w:t>
      </w:r>
      <w:r>
        <w:rPr>
          <w:rFonts w:hint="default" w:ascii="Times New Roman" w:hAnsi="Times New Roman" w:eastAsia="仿宋_GB2312" w:cs="Times New Roman"/>
          <w:color w:val="auto"/>
          <w:spacing w:val="-10"/>
          <w:highlight w:val="none"/>
        </w:rPr>
        <w:t>50</w:t>
      </w:r>
      <w:r>
        <w:rPr>
          <w:rFonts w:hint="eastAsia" w:ascii="仿宋_GB2312" w:eastAsia="仿宋_GB2312"/>
          <w:color w:val="auto"/>
          <w:spacing w:val="-10"/>
          <w:highlight w:val="none"/>
        </w:rPr>
        <w:t>万元。其中，获评数字文化类产业园区的（园区内数字文化企业数量不少于文化企业总数的</w:t>
      </w:r>
      <w:r>
        <w:rPr>
          <w:rFonts w:hint="default" w:ascii="Times New Roman" w:hAnsi="Times New Roman" w:eastAsia="仿宋_GB2312" w:cs="Times New Roman"/>
          <w:color w:val="auto"/>
          <w:spacing w:val="-10"/>
          <w:highlight w:val="none"/>
        </w:rPr>
        <w:t>50</w:t>
      </w:r>
      <w:r>
        <w:rPr>
          <w:rFonts w:hint="eastAsia" w:ascii="仿宋_GB2312" w:eastAsia="仿宋_GB2312"/>
          <w:color w:val="auto"/>
          <w:spacing w:val="-10"/>
          <w:highlight w:val="none"/>
        </w:rPr>
        <w:t>%），分别给予一次性奖励</w:t>
      </w:r>
      <w:r>
        <w:rPr>
          <w:rFonts w:hint="default" w:ascii="Times New Roman" w:hAnsi="Times New Roman" w:eastAsia="仿宋_GB2312" w:cs="Times New Roman"/>
          <w:color w:val="auto"/>
          <w:spacing w:val="-10"/>
          <w:highlight w:val="none"/>
        </w:rPr>
        <w:t>300</w:t>
      </w:r>
      <w:r>
        <w:rPr>
          <w:rFonts w:hint="eastAsia" w:ascii="仿宋_GB2312" w:eastAsia="仿宋_GB2312"/>
          <w:color w:val="auto"/>
          <w:spacing w:val="-10"/>
          <w:highlight w:val="none"/>
        </w:rPr>
        <w:t>万元、</w:t>
      </w:r>
      <w:r>
        <w:rPr>
          <w:rFonts w:hint="default" w:ascii="Times New Roman" w:hAnsi="Times New Roman" w:eastAsia="仿宋_GB2312" w:cs="Times New Roman"/>
          <w:color w:val="auto"/>
          <w:spacing w:val="-10"/>
          <w:highlight w:val="none"/>
        </w:rPr>
        <w:t>200</w:t>
      </w:r>
      <w:r>
        <w:rPr>
          <w:rFonts w:hint="eastAsia" w:ascii="仿宋_GB2312" w:eastAsia="仿宋_GB2312"/>
          <w:color w:val="auto"/>
          <w:spacing w:val="-10"/>
          <w:highlight w:val="none"/>
        </w:rPr>
        <w:t>万元和</w:t>
      </w:r>
      <w:r>
        <w:rPr>
          <w:rFonts w:hint="default" w:ascii="Times New Roman" w:hAnsi="Times New Roman" w:eastAsia="仿宋_GB2312" w:cs="Times New Roman"/>
          <w:color w:val="auto"/>
          <w:spacing w:val="-10"/>
          <w:highlight w:val="none"/>
        </w:rPr>
        <w:t>100</w:t>
      </w:r>
      <w:r>
        <w:rPr>
          <w:rFonts w:hint="eastAsia" w:ascii="仿宋_GB2312" w:eastAsia="仿宋_GB2312"/>
          <w:color w:val="auto"/>
          <w:spacing w:val="-10"/>
          <w:highlight w:val="none"/>
        </w:rPr>
        <w:t>万元。</w:t>
      </w:r>
    </w:p>
    <w:p w14:paraId="338E3AFA">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2</w:t>
      </w:r>
      <w:r>
        <w:rPr>
          <w:rFonts w:ascii="仿宋_GB2312" w:eastAsia="仿宋_GB2312"/>
          <w:b/>
          <w:color w:val="auto"/>
          <w:spacing w:val="-10"/>
          <w:highlight w:val="none"/>
        </w:rPr>
        <w:t>．</w:t>
      </w:r>
      <w:r>
        <w:rPr>
          <w:rFonts w:hint="eastAsia" w:ascii="仿宋_GB2312" w:eastAsia="仿宋_GB2312"/>
          <w:b/>
          <w:color w:val="auto"/>
          <w:spacing w:val="-10"/>
          <w:highlight w:val="none"/>
        </w:rPr>
        <w:t>区级产业集聚区认定</w:t>
      </w:r>
    </w:p>
    <w:p w14:paraId="4E5396F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对首次获评吴中区文化产业集聚区（街区）的，给予运营主体一次性奖励</w:t>
      </w:r>
      <w:r>
        <w:rPr>
          <w:rFonts w:hint="default" w:ascii="Times New Roman" w:hAnsi="Times New Roman" w:eastAsia="仿宋_GB2312" w:cs="Times New Roman"/>
          <w:color w:val="auto"/>
          <w:spacing w:val="-10"/>
          <w:highlight w:val="none"/>
        </w:rPr>
        <w:t>20</w:t>
      </w:r>
      <w:r>
        <w:rPr>
          <w:rFonts w:hint="eastAsia" w:ascii="仿宋_GB2312" w:hAnsi="方正仿宋_GB2312" w:eastAsia="仿宋_GB2312" w:cs="方正仿宋_GB2312"/>
          <w:color w:val="auto"/>
          <w:spacing w:val="-10"/>
          <w:highlight w:val="none"/>
        </w:rPr>
        <w:t>万元。</w:t>
      </w:r>
    </w:p>
    <w:p w14:paraId="307361D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对已认定的吴中区文化产业集聚区（街区）进行复核，经评审，对通过复核的集聚区（街区），给予运营主体一次性奖励</w:t>
      </w:r>
      <w:r>
        <w:rPr>
          <w:rFonts w:hint="default" w:ascii="Times New Roman" w:hAnsi="Times New Roman" w:eastAsia="仿宋_GB2312" w:cs="Times New Roman"/>
          <w:color w:val="auto"/>
          <w:spacing w:val="-10"/>
          <w:highlight w:val="none"/>
        </w:rPr>
        <w:t>5</w:t>
      </w:r>
      <w:r>
        <w:rPr>
          <w:rFonts w:hint="eastAsia" w:ascii="仿宋_GB2312" w:hAnsi="方正仿宋_GB2312" w:eastAsia="仿宋_GB2312" w:cs="方正仿宋_GB2312"/>
          <w:color w:val="auto"/>
          <w:spacing w:val="-10"/>
          <w:highlight w:val="none"/>
        </w:rPr>
        <w:t xml:space="preserve">万元。 </w:t>
      </w:r>
    </w:p>
    <w:p w14:paraId="2EA4BD5E">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3</w:t>
      </w:r>
      <w:r>
        <w:rPr>
          <w:rFonts w:ascii="仿宋_GB2312" w:eastAsia="仿宋_GB2312"/>
          <w:b/>
          <w:color w:val="auto"/>
          <w:spacing w:val="-10"/>
          <w:highlight w:val="none"/>
        </w:rPr>
        <w:t>．</w:t>
      </w:r>
      <w:r>
        <w:rPr>
          <w:rFonts w:hint="eastAsia" w:ascii="仿宋_GB2312" w:eastAsia="仿宋_GB2312"/>
          <w:b/>
          <w:color w:val="auto"/>
          <w:spacing w:val="-10"/>
          <w:highlight w:val="none"/>
        </w:rPr>
        <w:t>支持产业集聚区高质量发展</w:t>
      </w:r>
    </w:p>
    <w:p w14:paraId="3CC570E9">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各级文化或体育产业园区（街区）内上年度“规上”文化企业总营业收入（不含流水和关联交易）不低于</w:t>
      </w:r>
      <w:r>
        <w:rPr>
          <w:rFonts w:hint="default" w:ascii="Times New Roman" w:hAnsi="Times New Roman" w:eastAsia="仿宋_GB2312" w:cs="Times New Roman"/>
          <w:color w:val="auto"/>
          <w:spacing w:val="-10"/>
          <w:highlight w:val="none"/>
        </w:rPr>
        <w:t>1</w:t>
      </w:r>
      <w:r>
        <w:rPr>
          <w:rFonts w:hint="eastAsia" w:ascii="仿宋_GB2312" w:hAnsi="方正仿宋_GB2312" w:eastAsia="仿宋_GB2312" w:cs="方正仿宋_GB2312"/>
          <w:color w:val="auto"/>
          <w:spacing w:val="-10"/>
          <w:highlight w:val="none"/>
        </w:rPr>
        <w:t>亿元，且增长率不低于</w:t>
      </w:r>
      <w:r>
        <w:rPr>
          <w:rFonts w:hint="default" w:ascii="Times New Roman" w:hAnsi="Times New Roman" w:eastAsia="仿宋_GB2312" w:cs="Times New Roman"/>
          <w:color w:val="auto"/>
          <w:spacing w:val="-10"/>
          <w:highlight w:val="none"/>
        </w:rPr>
        <w:t>20</w:t>
      </w:r>
      <w:r>
        <w:rPr>
          <w:rFonts w:hint="eastAsia" w:ascii="仿宋_GB2312" w:hAnsi="方正仿宋_GB2312" w:eastAsia="仿宋_GB2312" w:cs="方正仿宋_GB2312"/>
          <w:color w:val="auto"/>
          <w:spacing w:val="-10"/>
          <w:highlight w:val="none"/>
        </w:rPr>
        <w:t>%的，给予一次性奖励</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万元；对年度落户规上企业</w:t>
      </w:r>
      <w:r>
        <w:rPr>
          <w:rFonts w:hint="default" w:ascii="Times New Roman" w:hAnsi="Times New Roman" w:eastAsia="仿宋_GB2312" w:cs="Times New Roman"/>
          <w:color w:val="auto"/>
          <w:spacing w:val="-10"/>
          <w:highlight w:val="none"/>
        </w:rPr>
        <w:t>4</w:t>
      </w:r>
      <w:r>
        <w:rPr>
          <w:rFonts w:hint="eastAsia" w:ascii="仿宋_GB2312" w:hAnsi="方正仿宋_GB2312" w:eastAsia="仿宋_GB2312" w:cs="方正仿宋_GB2312"/>
          <w:color w:val="auto"/>
          <w:spacing w:val="-10"/>
          <w:highlight w:val="none"/>
        </w:rPr>
        <w:t>家及以上的，给予一次性奖励</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万元。</w:t>
      </w:r>
    </w:p>
    <w:p w14:paraId="7A555A10">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4</w:t>
      </w:r>
      <w:r>
        <w:rPr>
          <w:rFonts w:ascii="仿宋_GB2312" w:eastAsia="仿宋_GB2312"/>
          <w:b/>
          <w:color w:val="auto"/>
          <w:spacing w:val="-10"/>
          <w:highlight w:val="none"/>
        </w:rPr>
        <w:t>．</w:t>
      </w:r>
      <w:r>
        <w:rPr>
          <w:rFonts w:hint="eastAsia" w:ascii="仿宋_GB2312" w:eastAsia="仿宋_GB2312"/>
          <w:b/>
          <w:color w:val="auto"/>
          <w:spacing w:val="-10"/>
          <w:highlight w:val="none"/>
        </w:rPr>
        <w:t>鼓励夜间文旅消费集聚发展</w:t>
      </w:r>
    </w:p>
    <w:p w14:paraId="7FCA534D">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支持夜间文旅消费集聚发展，对获评国家级、省级、市级夜间文旅消费集聚区的建设运营主体，分别给予一次性奖励</w:t>
      </w:r>
      <w:r>
        <w:rPr>
          <w:rFonts w:hint="default" w:ascii="Times New Roman" w:hAnsi="Times New Roman" w:eastAsia="仿宋_GB2312" w:cs="Times New Roman"/>
          <w:color w:val="auto"/>
          <w:spacing w:val="-10"/>
          <w:highlight w:val="none"/>
        </w:rPr>
        <w:t>100</w:t>
      </w:r>
      <w:r>
        <w:rPr>
          <w:rFonts w:hint="eastAsia" w:ascii="仿宋_GB2312" w:hAnsi="方正仿宋_GB2312" w:eastAsia="仿宋_GB2312" w:cs="方正仿宋_GB2312"/>
          <w:color w:val="auto"/>
          <w:spacing w:val="-10"/>
          <w:highlight w:val="none"/>
        </w:rPr>
        <w:t>万元、</w:t>
      </w:r>
      <w:r>
        <w:rPr>
          <w:rFonts w:hint="default" w:ascii="Times New Roman" w:hAnsi="Times New Roman" w:eastAsia="仿宋_GB2312" w:cs="Times New Roman"/>
          <w:color w:val="auto"/>
          <w:spacing w:val="-10"/>
          <w:highlight w:val="none"/>
        </w:rPr>
        <w:t>50</w:t>
      </w:r>
      <w:r>
        <w:rPr>
          <w:rFonts w:hint="eastAsia" w:ascii="仿宋_GB2312" w:hAnsi="方正仿宋_GB2312" w:eastAsia="仿宋_GB2312" w:cs="方正仿宋_GB2312"/>
          <w:color w:val="auto"/>
          <w:spacing w:val="-10"/>
          <w:highlight w:val="none"/>
        </w:rPr>
        <w:t>万元和</w:t>
      </w:r>
      <w:r>
        <w:rPr>
          <w:rFonts w:hint="default" w:ascii="Times New Roman" w:hAnsi="Times New Roman" w:eastAsia="仿宋_GB2312" w:cs="Times New Roman"/>
          <w:color w:val="auto"/>
          <w:spacing w:val="-10"/>
          <w:highlight w:val="none"/>
        </w:rPr>
        <w:t>20</w:t>
      </w:r>
      <w:r>
        <w:rPr>
          <w:rFonts w:hint="eastAsia" w:ascii="仿宋_GB2312" w:hAnsi="方正仿宋_GB2312" w:eastAsia="仿宋_GB2312" w:cs="方正仿宋_GB2312"/>
          <w:color w:val="auto"/>
          <w:spacing w:val="-10"/>
          <w:highlight w:val="none"/>
        </w:rPr>
        <w:t>万元。</w:t>
      </w:r>
    </w:p>
    <w:p w14:paraId="2486057D">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楷体_GB2312" w:eastAsia="楷体_GB2312"/>
          <w:color w:val="auto"/>
          <w:spacing w:val="-10"/>
          <w:highlight w:val="none"/>
        </w:rPr>
      </w:pPr>
      <w:r>
        <w:rPr>
          <w:rFonts w:ascii="楷体_GB2312" w:eastAsia="楷体_GB2312"/>
          <w:color w:val="auto"/>
          <w:spacing w:val="-10"/>
          <w:highlight w:val="none"/>
        </w:rPr>
        <w:t>（二）加速推动，支持重点企业发展</w:t>
      </w:r>
    </w:p>
    <w:p w14:paraId="46E9567F">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5</w:t>
      </w:r>
      <w:r>
        <w:rPr>
          <w:rFonts w:ascii="仿宋_GB2312" w:eastAsia="仿宋_GB2312"/>
          <w:b/>
          <w:color w:val="auto"/>
          <w:spacing w:val="-10"/>
          <w:highlight w:val="none"/>
        </w:rPr>
        <w:t>．助推企业加速成长</w:t>
      </w:r>
    </w:p>
    <w:p w14:paraId="4B51CEBE">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对在吴中区注册设立经营满</w:t>
      </w:r>
      <w:r>
        <w:rPr>
          <w:rFonts w:hint="default" w:ascii="Times New Roman" w:hAnsi="Times New Roman" w:eastAsia="仿宋_GB2312" w:cs="Times New Roman"/>
          <w:color w:val="auto"/>
          <w:spacing w:val="-10"/>
          <w:highlight w:val="none"/>
        </w:rPr>
        <w:t>2</w:t>
      </w:r>
      <w:r>
        <w:rPr>
          <w:rFonts w:hint="eastAsia" w:ascii="仿宋_GB2312" w:hAnsi="方正仿宋_GB2312" w:eastAsia="仿宋_GB2312" w:cs="方正仿宋_GB2312"/>
          <w:color w:val="auto"/>
          <w:spacing w:val="-10"/>
          <w:highlight w:val="none"/>
        </w:rPr>
        <w:t>年以上，能够做到守法经营，履行安全生产责任，社会信用记录良好的标杆型、领军型、成长型文化企业，经审核，每年分别给予</w:t>
      </w:r>
      <w:r>
        <w:rPr>
          <w:rFonts w:hint="default" w:ascii="Times New Roman" w:hAnsi="Times New Roman" w:eastAsia="仿宋_GB2312" w:cs="Times New Roman"/>
          <w:color w:val="auto"/>
          <w:spacing w:val="-10"/>
          <w:highlight w:val="none"/>
        </w:rPr>
        <w:t>200</w:t>
      </w:r>
      <w:r>
        <w:rPr>
          <w:rFonts w:hint="eastAsia" w:ascii="仿宋_GB2312" w:hAnsi="方正仿宋_GB2312" w:eastAsia="仿宋_GB2312" w:cs="方正仿宋_GB2312"/>
          <w:color w:val="auto"/>
          <w:spacing w:val="-10"/>
          <w:highlight w:val="none"/>
        </w:rPr>
        <w:t>万元、</w:t>
      </w:r>
      <w:r>
        <w:rPr>
          <w:rFonts w:hint="default" w:ascii="Times New Roman" w:hAnsi="Times New Roman" w:eastAsia="仿宋_GB2312" w:cs="Times New Roman"/>
          <w:color w:val="auto"/>
          <w:spacing w:val="-10"/>
          <w:highlight w:val="none"/>
        </w:rPr>
        <w:t>100</w:t>
      </w:r>
      <w:r>
        <w:rPr>
          <w:rFonts w:hint="eastAsia" w:ascii="仿宋_GB2312" w:hAnsi="方正仿宋_GB2312" w:eastAsia="仿宋_GB2312" w:cs="方正仿宋_GB2312"/>
          <w:color w:val="auto"/>
          <w:spacing w:val="-10"/>
          <w:highlight w:val="none"/>
        </w:rPr>
        <w:t>万元和</w:t>
      </w:r>
      <w:r>
        <w:rPr>
          <w:rFonts w:hint="default" w:ascii="Times New Roman" w:hAnsi="Times New Roman" w:eastAsia="仿宋_GB2312" w:cs="Times New Roman"/>
          <w:color w:val="auto"/>
          <w:spacing w:val="-10"/>
          <w:highlight w:val="none"/>
        </w:rPr>
        <w:t>50</w:t>
      </w:r>
      <w:r>
        <w:rPr>
          <w:rFonts w:hint="eastAsia" w:ascii="仿宋_GB2312" w:hAnsi="方正仿宋_GB2312" w:eastAsia="仿宋_GB2312" w:cs="方正仿宋_GB2312"/>
          <w:color w:val="auto"/>
          <w:spacing w:val="-10"/>
          <w:highlight w:val="none"/>
        </w:rPr>
        <w:t>万元的奖励，奖励资金总额不超过企业上年度纳税总额（不含代缴个税）。其中标杆型文化企业上年度营业收入（不含流水和关联交易，下同）不低于</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亿元，增长率不低于</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%；领军型文化企业上年度营业收入不低于</w:t>
      </w:r>
      <w:r>
        <w:rPr>
          <w:rFonts w:hint="default" w:ascii="Times New Roman" w:hAnsi="Times New Roman" w:eastAsia="仿宋_GB2312" w:cs="Times New Roman"/>
          <w:color w:val="auto"/>
          <w:spacing w:val="-10"/>
          <w:highlight w:val="none"/>
        </w:rPr>
        <w:t>1</w:t>
      </w:r>
      <w:r>
        <w:rPr>
          <w:rFonts w:hint="eastAsia" w:ascii="仿宋_GB2312" w:hAnsi="方正仿宋_GB2312" w:eastAsia="仿宋_GB2312" w:cs="方正仿宋_GB2312"/>
          <w:color w:val="auto"/>
          <w:spacing w:val="-10"/>
          <w:highlight w:val="none"/>
        </w:rPr>
        <w:t>亿元，增长率不低于</w:t>
      </w:r>
      <w:r>
        <w:rPr>
          <w:rFonts w:hint="default" w:ascii="Times New Roman" w:hAnsi="Times New Roman" w:eastAsia="仿宋_GB2312" w:cs="Times New Roman"/>
          <w:color w:val="auto"/>
          <w:spacing w:val="-10"/>
          <w:highlight w:val="none"/>
        </w:rPr>
        <w:t>20</w:t>
      </w:r>
      <w:r>
        <w:rPr>
          <w:rFonts w:hint="eastAsia" w:ascii="仿宋_GB2312" w:hAnsi="方正仿宋_GB2312" w:eastAsia="仿宋_GB2312" w:cs="方正仿宋_GB2312"/>
          <w:color w:val="auto"/>
          <w:spacing w:val="-10"/>
          <w:highlight w:val="none"/>
        </w:rPr>
        <w:t>%；成长型文化企业上年度营业收入不低于</w:t>
      </w:r>
      <w:r>
        <w:rPr>
          <w:rFonts w:hint="default" w:ascii="Times New Roman" w:hAnsi="Times New Roman" w:eastAsia="仿宋_GB2312" w:cs="Times New Roman"/>
          <w:color w:val="auto"/>
          <w:spacing w:val="-10"/>
          <w:highlight w:val="none"/>
        </w:rPr>
        <w:t>3000</w:t>
      </w:r>
      <w:r>
        <w:rPr>
          <w:rFonts w:hint="eastAsia" w:ascii="仿宋_GB2312" w:hAnsi="方正仿宋_GB2312" w:eastAsia="仿宋_GB2312" w:cs="方正仿宋_GB2312"/>
          <w:color w:val="auto"/>
          <w:spacing w:val="-10"/>
          <w:highlight w:val="none"/>
        </w:rPr>
        <w:t>万元，增长率不低于</w:t>
      </w:r>
      <w:r>
        <w:rPr>
          <w:rFonts w:hint="default" w:ascii="Times New Roman" w:hAnsi="Times New Roman" w:eastAsia="仿宋_GB2312" w:cs="Times New Roman"/>
          <w:color w:val="auto"/>
          <w:spacing w:val="-10"/>
          <w:highlight w:val="none"/>
        </w:rPr>
        <w:t>30</w:t>
      </w:r>
      <w:r>
        <w:rPr>
          <w:rFonts w:hint="eastAsia" w:ascii="仿宋_GB2312" w:hAnsi="方正仿宋_GB2312" w:eastAsia="仿宋_GB2312" w:cs="方正仿宋_GB2312"/>
          <w:color w:val="auto"/>
          <w:spacing w:val="-10"/>
          <w:highlight w:val="none"/>
        </w:rPr>
        <w:t>%。</w:t>
      </w:r>
    </w:p>
    <w:p w14:paraId="40AE08D1">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6</w:t>
      </w:r>
      <w:r>
        <w:rPr>
          <w:rFonts w:ascii="仿宋_GB2312" w:eastAsia="仿宋_GB2312"/>
          <w:b/>
          <w:color w:val="auto"/>
          <w:spacing w:val="-10"/>
          <w:highlight w:val="none"/>
        </w:rPr>
        <w:t>．加大企业引培力度</w:t>
      </w:r>
    </w:p>
    <w:p w14:paraId="4AFE39E9">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对首次纳入文化统计库（区统计局确认的“规上”文化企业库，下同）的企业，经审核，给予一次性奖励</w:t>
      </w:r>
      <w:r>
        <w:rPr>
          <w:rFonts w:hint="default" w:ascii="Times New Roman" w:hAnsi="Times New Roman" w:eastAsia="仿宋_GB2312" w:cs="Times New Roman"/>
          <w:color w:val="auto"/>
          <w:spacing w:val="-10"/>
          <w:highlight w:val="none"/>
        </w:rPr>
        <w:t>5</w:t>
      </w:r>
      <w:r>
        <w:rPr>
          <w:rFonts w:hint="eastAsia" w:ascii="仿宋_GB2312" w:hAnsi="方正仿宋_GB2312" w:eastAsia="仿宋_GB2312" w:cs="方正仿宋_GB2312"/>
          <w:color w:val="auto"/>
          <w:spacing w:val="-10"/>
          <w:highlight w:val="none"/>
        </w:rPr>
        <w:t>万元。</w:t>
      </w:r>
    </w:p>
    <w:p w14:paraId="7B743C5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对连续三年纳入文化统计库的企业，经审核，给予一次性奖励</w:t>
      </w:r>
      <w:r>
        <w:rPr>
          <w:rFonts w:hint="default" w:ascii="Times New Roman" w:hAnsi="Times New Roman" w:eastAsia="仿宋_GB2312" w:cs="Times New Roman"/>
          <w:color w:val="auto"/>
          <w:spacing w:val="-10"/>
          <w:highlight w:val="none"/>
        </w:rPr>
        <w:t>5</w:t>
      </w:r>
      <w:r>
        <w:rPr>
          <w:rFonts w:hint="eastAsia" w:ascii="仿宋_GB2312" w:hAnsi="方正仿宋_GB2312" w:eastAsia="仿宋_GB2312" w:cs="方正仿宋_GB2312"/>
          <w:color w:val="auto"/>
          <w:spacing w:val="-10"/>
          <w:highlight w:val="none"/>
        </w:rPr>
        <w:t>万元。</w:t>
      </w:r>
    </w:p>
    <w:p w14:paraId="175AA087">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7</w:t>
      </w:r>
      <w:r>
        <w:rPr>
          <w:rFonts w:ascii="仿宋_GB2312" w:eastAsia="仿宋_GB2312"/>
          <w:b/>
          <w:color w:val="auto"/>
          <w:spacing w:val="-10"/>
          <w:highlight w:val="none"/>
        </w:rPr>
        <w:t>．激励企业创先争优</w:t>
      </w:r>
    </w:p>
    <w:p w14:paraId="75879FB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对首次获评“全国文化企业</w:t>
      </w:r>
      <w:r>
        <w:rPr>
          <w:rFonts w:hint="default" w:ascii="Times New Roman" w:hAnsi="Times New Roman" w:eastAsia="仿宋_GB2312" w:cs="Times New Roman"/>
          <w:color w:val="auto"/>
          <w:spacing w:val="-10"/>
          <w:highlight w:val="none"/>
        </w:rPr>
        <w:t>30</w:t>
      </w:r>
      <w:r>
        <w:rPr>
          <w:rFonts w:hint="eastAsia" w:ascii="仿宋_GB2312" w:hAnsi="方正仿宋_GB2312" w:eastAsia="仿宋_GB2312" w:cs="方正仿宋_GB2312"/>
          <w:color w:val="auto"/>
          <w:spacing w:val="-10"/>
          <w:highlight w:val="none"/>
        </w:rPr>
        <w:t>强”和提名的企业，分别给予一次性奖励</w:t>
      </w:r>
      <w:r>
        <w:rPr>
          <w:rFonts w:hint="default" w:ascii="Times New Roman" w:hAnsi="Times New Roman" w:eastAsia="仿宋_GB2312" w:cs="Times New Roman"/>
          <w:color w:val="auto"/>
          <w:spacing w:val="-10"/>
          <w:highlight w:val="none"/>
        </w:rPr>
        <w:t>500</w:t>
      </w:r>
      <w:r>
        <w:rPr>
          <w:rFonts w:hint="eastAsia" w:ascii="仿宋_GB2312" w:hAnsi="方正仿宋_GB2312" w:eastAsia="仿宋_GB2312" w:cs="方正仿宋_GB2312"/>
          <w:color w:val="auto"/>
          <w:spacing w:val="-10"/>
          <w:highlight w:val="none"/>
        </w:rPr>
        <w:t>万元和</w:t>
      </w:r>
      <w:r>
        <w:rPr>
          <w:rFonts w:hint="default" w:ascii="Times New Roman" w:hAnsi="Times New Roman" w:eastAsia="仿宋_GB2312" w:cs="Times New Roman"/>
          <w:color w:val="auto"/>
          <w:spacing w:val="-10"/>
          <w:highlight w:val="none"/>
        </w:rPr>
        <w:t>200</w:t>
      </w:r>
      <w:r>
        <w:rPr>
          <w:rFonts w:hint="eastAsia" w:ascii="仿宋_GB2312" w:hAnsi="方正仿宋_GB2312" w:eastAsia="仿宋_GB2312" w:cs="方正仿宋_GB2312"/>
          <w:color w:val="auto"/>
          <w:spacing w:val="-10"/>
          <w:highlight w:val="none"/>
        </w:rPr>
        <w:t>万元。</w:t>
      </w:r>
    </w:p>
    <w:p w14:paraId="484302A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对首次获评“江苏省民营文化企业</w:t>
      </w:r>
      <w:r>
        <w:rPr>
          <w:rFonts w:hint="default" w:ascii="Times New Roman" w:hAnsi="Times New Roman" w:eastAsia="仿宋_GB2312" w:cs="Times New Roman"/>
          <w:color w:val="auto"/>
          <w:spacing w:val="-10"/>
          <w:highlight w:val="none"/>
        </w:rPr>
        <w:t>30</w:t>
      </w:r>
      <w:r>
        <w:rPr>
          <w:rFonts w:hint="eastAsia" w:ascii="仿宋_GB2312" w:hAnsi="方正仿宋_GB2312" w:eastAsia="仿宋_GB2312" w:cs="方正仿宋_GB2312"/>
          <w:color w:val="auto"/>
          <w:spacing w:val="-10"/>
          <w:highlight w:val="none"/>
        </w:rPr>
        <w:t>强”的企业， 给予一次性奖励</w:t>
      </w:r>
      <w:r>
        <w:rPr>
          <w:rFonts w:hint="default" w:ascii="Times New Roman" w:hAnsi="Times New Roman" w:eastAsia="仿宋_GB2312" w:cs="Times New Roman"/>
          <w:color w:val="auto"/>
          <w:spacing w:val="-10"/>
          <w:highlight w:val="none"/>
        </w:rPr>
        <w:t>300</w:t>
      </w:r>
      <w:r>
        <w:rPr>
          <w:rFonts w:hint="eastAsia" w:ascii="仿宋_GB2312" w:hAnsi="方正仿宋_GB2312" w:eastAsia="仿宋_GB2312" w:cs="方正仿宋_GB2312"/>
          <w:color w:val="auto"/>
          <w:spacing w:val="-10"/>
          <w:highlight w:val="none"/>
        </w:rPr>
        <w:t>万元。</w:t>
      </w:r>
    </w:p>
    <w:p w14:paraId="2FACFCD1">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楷体_GB2312" w:eastAsia="楷体_GB2312"/>
          <w:color w:val="auto"/>
          <w:spacing w:val="-10"/>
          <w:highlight w:val="none"/>
        </w:rPr>
      </w:pPr>
      <w:r>
        <w:rPr>
          <w:rFonts w:ascii="楷体_GB2312" w:eastAsia="楷体_GB2312"/>
          <w:color w:val="auto"/>
          <w:spacing w:val="-10"/>
          <w:highlight w:val="none"/>
        </w:rPr>
        <w:t>（三）优化环境，推动重大项目落地</w:t>
      </w:r>
    </w:p>
    <w:p w14:paraId="3AF962F5">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8</w:t>
      </w:r>
      <w:r>
        <w:rPr>
          <w:rFonts w:ascii="仿宋_GB2312" w:eastAsia="仿宋_GB2312"/>
          <w:b/>
          <w:color w:val="auto"/>
          <w:spacing w:val="-10"/>
          <w:highlight w:val="none"/>
        </w:rPr>
        <w:t>．鼓励游戏动漫产业发展</w:t>
      </w:r>
    </w:p>
    <w:p w14:paraId="621F1B86">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在吴中区注册落户且正常运营满一年的的知名电竞俱乐部（两年内单项目取得全国前三、全球前八成绩或参加国内次级电竞职业联赛的俱乐部）、顶级电竞俱乐部（两年内单项目取得全球前三成绩或参加国内顶级电竞职业联赛的俱乐部），参加在国际上有重大影响力的电子竞技官方赛事（如亚运会电子竞技项目）、电子竞技单项顶级联赛项目（如王者荣耀KPL系列赛，英雄联盟LPL系列赛、S系列赛，DOTA</w:t>
      </w:r>
      <w:r>
        <w:rPr>
          <w:rFonts w:hint="default" w:ascii="Times New Roman" w:hAnsi="Times New Roman" w:eastAsia="仿宋_GB2312" w:cs="Times New Roman"/>
          <w:color w:val="auto"/>
          <w:spacing w:val="-10"/>
          <w:highlight w:val="none"/>
        </w:rPr>
        <w:t>2</w:t>
      </w:r>
      <w:r>
        <w:rPr>
          <w:rFonts w:hint="eastAsia" w:ascii="仿宋_GB2312" w:hAnsi="方正仿宋_GB2312" w:eastAsia="仿宋_GB2312" w:cs="方正仿宋_GB2312"/>
          <w:color w:val="auto"/>
          <w:spacing w:val="-10"/>
          <w:highlight w:val="none"/>
        </w:rPr>
        <w:t>的TI系列赛等）的，给予一次性奖励</w:t>
      </w:r>
      <w:r>
        <w:rPr>
          <w:rFonts w:hint="default" w:ascii="Times New Roman" w:hAnsi="Times New Roman" w:eastAsia="仿宋_GB2312" w:cs="Times New Roman"/>
          <w:color w:val="auto"/>
          <w:spacing w:val="-10"/>
          <w:highlight w:val="none"/>
        </w:rPr>
        <w:t>150</w:t>
      </w:r>
      <w:r>
        <w:rPr>
          <w:rFonts w:hint="eastAsia" w:ascii="仿宋_GB2312" w:hAnsi="方正仿宋_GB2312" w:eastAsia="仿宋_GB2312" w:cs="方正仿宋_GB2312"/>
          <w:color w:val="auto"/>
          <w:spacing w:val="-10"/>
          <w:highlight w:val="none"/>
        </w:rPr>
        <w:t>万元。</w:t>
      </w:r>
    </w:p>
    <w:p w14:paraId="25E56FE9">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对在吴中区注册落户且正常运营满一年的的企业，经国家主管部门批准，在吴中区研发发行、正式上线满一年且具有较大影响力的原创游戏产品，企业年度营收</w:t>
      </w:r>
      <w:r>
        <w:rPr>
          <w:rFonts w:hint="default" w:ascii="Times New Roman" w:hAnsi="Times New Roman" w:eastAsia="仿宋_GB2312" w:cs="Times New Roman"/>
          <w:color w:val="auto"/>
          <w:spacing w:val="-10"/>
          <w:highlight w:val="none"/>
        </w:rPr>
        <w:t>2</w:t>
      </w:r>
      <w:r>
        <w:rPr>
          <w:rFonts w:hint="eastAsia" w:ascii="仿宋_GB2312" w:hAnsi="方正仿宋_GB2312" w:eastAsia="仿宋_GB2312" w:cs="方正仿宋_GB2312"/>
          <w:color w:val="auto"/>
          <w:spacing w:val="-10"/>
          <w:highlight w:val="none"/>
        </w:rPr>
        <w:t>亿元以上的，最高按照该游戏产品运营首年度营收</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%给予一次性奖励，单个企业最高不超过</w:t>
      </w:r>
      <w:r>
        <w:rPr>
          <w:rFonts w:hint="default" w:ascii="Times New Roman" w:hAnsi="Times New Roman" w:eastAsia="仿宋_GB2312" w:cs="Times New Roman"/>
          <w:color w:val="auto"/>
          <w:spacing w:val="-10"/>
          <w:highlight w:val="none"/>
        </w:rPr>
        <w:t>200</w:t>
      </w:r>
      <w:r>
        <w:rPr>
          <w:rFonts w:hint="eastAsia" w:ascii="仿宋_GB2312" w:hAnsi="方正仿宋_GB2312" w:eastAsia="仿宋_GB2312" w:cs="方正仿宋_GB2312"/>
          <w:color w:val="auto"/>
          <w:spacing w:val="-10"/>
          <w:highlight w:val="none"/>
        </w:rPr>
        <w:t>万元。</w:t>
      </w:r>
    </w:p>
    <w:p w14:paraId="3865B42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对在吴中区注册落户且正常运营满一年的的企业，以委员会制形式且拥有</w:t>
      </w:r>
      <w:r>
        <w:rPr>
          <w:rFonts w:hint="default" w:ascii="Times New Roman" w:hAnsi="Times New Roman" w:eastAsia="仿宋_GB2312" w:cs="Times New Roman"/>
          <w:color w:val="auto"/>
          <w:spacing w:val="-10"/>
          <w:highlight w:val="none"/>
        </w:rPr>
        <w:t>20</w:t>
      </w:r>
      <w:r>
        <w:rPr>
          <w:rFonts w:hint="eastAsia" w:ascii="仿宋_GB2312" w:hAnsi="方正仿宋_GB2312" w:eastAsia="仿宋_GB2312" w:cs="方正仿宋_GB2312"/>
          <w:color w:val="auto"/>
          <w:spacing w:val="-10"/>
          <w:highlight w:val="none"/>
        </w:rPr>
        <w:t>%以上否决权（与资本端、产业端、内容端等共同出资组成的专项账户，用以研发内容产品并产业化的合作模式，同股同权，协商开发。建立专项账户，进行专项审计），与国内六大互联网平台（腾讯、爱奇艺、优酷、哔站、番茄、芒果）研发出品，并获得播放许可的原创动画（网络）系列项目，根据六大平台签署合同以及项目支出财务审计，给予实际投入金额</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%的一次性奖励，单个项目最高不超过</w:t>
      </w:r>
      <w:r>
        <w:rPr>
          <w:rFonts w:hint="default" w:ascii="Times New Roman" w:hAnsi="Times New Roman" w:eastAsia="仿宋_GB2312" w:cs="Times New Roman"/>
          <w:color w:val="auto"/>
          <w:spacing w:val="-10"/>
          <w:highlight w:val="none"/>
        </w:rPr>
        <w:t>100</w:t>
      </w:r>
      <w:r>
        <w:rPr>
          <w:rFonts w:hint="eastAsia" w:ascii="仿宋_GB2312" w:hAnsi="方正仿宋_GB2312" w:eastAsia="仿宋_GB2312" w:cs="方正仿宋_GB2312"/>
          <w:color w:val="auto"/>
          <w:spacing w:val="-10"/>
          <w:highlight w:val="none"/>
        </w:rPr>
        <w:t>万元。</w:t>
      </w:r>
    </w:p>
    <w:p w14:paraId="4C3CB7A0">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对入选国家级游戏动漫重大项目（“一带一路”文化产业和旅游产业国际合作重点项目等）或获国家重大奖项（“动漫奖”“金猴奖”等）的优秀原创动漫游戏作品，给予一次性奖励</w:t>
      </w:r>
      <w:r>
        <w:rPr>
          <w:rFonts w:hint="default" w:ascii="Times New Roman" w:hAnsi="Times New Roman" w:eastAsia="仿宋_GB2312" w:cs="Times New Roman"/>
          <w:color w:val="auto"/>
          <w:spacing w:val="-10"/>
          <w:highlight w:val="none"/>
        </w:rPr>
        <w:t>50</w:t>
      </w:r>
      <w:r>
        <w:rPr>
          <w:rFonts w:hint="eastAsia" w:ascii="仿宋_GB2312" w:hAnsi="方正仿宋_GB2312" w:eastAsia="仿宋_GB2312" w:cs="方正仿宋_GB2312"/>
          <w:color w:val="auto"/>
          <w:spacing w:val="-10"/>
          <w:highlight w:val="none"/>
        </w:rPr>
        <w:t>万元。</w:t>
      </w:r>
    </w:p>
    <w:p w14:paraId="1CCEBF4D">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9</w:t>
      </w:r>
      <w:r>
        <w:rPr>
          <w:rFonts w:ascii="仿宋_GB2312" w:eastAsia="仿宋_GB2312"/>
          <w:b/>
          <w:color w:val="auto"/>
          <w:spacing w:val="-10"/>
          <w:highlight w:val="none"/>
        </w:rPr>
        <w:t>.鼓励影视</w:t>
      </w:r>
      <w:r>
        <w:rPr>
          <w:rFonts w:hint="eastAsia" w:ascii="仿宋_GB2312" w:eastAsia="仿宋_GB2312"/>
          <w:b/>
          <w:color w:val="auto"/>
          <w:spacing w:val="-10"/>
          <w:highlight w:val="none"/>
        </w:rPr>
        <w:t>（短剧）</w:t>
      </w:r>
      <w:r>
        <w:rPr>
          <w:rFonts w:ascii="仿宋_GB2312" w:eastAsia="仿宋_GB2312"/>
          <w:b/>
          <w:color w:val="auto"/>
          <w:spacing w:val="-10"/>
          <w:highlight w:val="none"/>
        </w:rPr>
        <w:t>产业发展</w:t>
      </w:r>
    </w:p>
    <w:p w14:paraId="042CE7D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对在江苏省备案且由吴中区文化企业作为第一出品方的电影作品，获中国电影华表奖（含提名）、中国电影金鸡奖（含提名），国际A类电影节主竞赛单元奖项、国家“五个一工程”奖的，给予一次性奖励</w:t>
      </w:r>
      <w:r>
        <w:rPr>
          <w:rFonts w:hint="default" w:ascii="Times New Roman" w:hAnsi="Times New Roman" w:eastAsia="仿宋_GB2312" w:cs="Times New Roman"/>
          <w:color w:val="auto"/>
          <w:spacing w:val="-10"/>
          <w:highlight w:val="none"/>
        </w:rPr>
        <w:t>100</w:t>
      </w:r>
      <w:r>
        <w:rPr>
          <w:rFonts w:hint="eastAsia" w:ascii="仿宋_GB2312" w:hAnsi="方正仿宋_GB2312" w:eastAsia="仿宋_GB2312" w:cs="方正仿宋_GB2312"/>
          <w:color w:val="auto"/>
          <w:spacing w:val="-10"/>
          <w:highlight w:val="none"/>
        </w:rPr>
        <w:t>万元。</w:t>
      </w:r>
    </w:p>
    <w:p w14:paraId="19CE5A1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对已上线播出，且入选国家广电总局网络视听精品创作传播工程、原创网络视听节目征集展播、网络视听节目年度推优目录等国家级、省级荣誉的微短剧，经审核，分别给予版权方每部一次性奖励</w:t>
      </w:r>
      <w:r>
        <w:rPr>
          <w:rFonts w:hint="default" w:ascii="Times New Roman" w:hAnsi="Times New Roman" w:eastAsia="仿宋_GB2312" w:cs="Times New Roman"/>
          <w:color w:val="auto"/>
          <w:spacing w:val="-10"/>
          <w:highlight w:val="none"/>
        </w:rPr>
        <w:t>30</w:t>
      </w:r>
      <w:r>
        <w:rPr>
          <w:rFonts w:hint="eastAsia" w:ascii="仿宋_GB2312" w:hAnsi="方正仿宋_GB2312" w:eastAsia="仿宋_GB2312" w:cs="方正仿宋_GB2312"/>
          <w:color w:val="auto"/>
          <w:spacing w:val="-10"/>
          <w:highlight w:val="none"/>
        </w:rPr>
        <w:t>万元和</w:t>
      </w:r>
      <w:r>
        <w:rPr>
          <w:rFonts w:hint="default" w:ascii="Times New Roman" w:hAnsi="Times New Roman" w:eastAsia="仿宋_GB2312" w:cs="Times New Roman"/>
          <w:color w:val="auto"/>
          <w:spacing w:val="-10"/>
          <w:highlight w:val="none"/>
        </w:rPr>
        <w:t>20</w:t>
      </w:r>
      <w:r>
        <w:rPr>
          <w:rFonts w:hint="eastAsia" w:ascii="仿宋_GB2312" w:hAnsi="方正仿宋_GB2312" w:eastAsia="仿宋_GB2312" w:cs="方正仿宋_GB2312"/>
          <w:color w:val="auto"/>
          <w:spacing w:val="-10"/>
          <w:highlight w:val="none"/>
        </w:rPr>
        <w:t>万元。</w:t>
      </w:r>
    </w:p>
    <w:p w14:paraId="51789815">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10</w:t>
      </w:r>
      <w:r>
        <w:rPr>
          <w:rFonts w:ascii="仿宋_GB2312" w:eastAsia="仿宋_GB2312"/>
          <w:b/>
          <w:color w:val="auto"/>
          <w:spacing w:val="-10"/>
          <w:highlight w:val="none"/>
        </w:rPr>
        <w:t>．鼓励非遗文创开发</w:t>
      </w:r>
    </w:p>
    <w:p w14:paraId="6B799EA5">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国家级、省级、市级非物质文化遗产进行文创产业化开发的企业，上年度营业收入首次达到</w:t>
      </w:r>
      <w:r>
        <w:rPr>
          <w:rFonts w:hint="default" w:ascii="Times New Roman" w:hAnsi="Times New Roman" w:eastAsia="仿宋_GB2312" w:cs="Times New Roman"/>
          <w:color w:val="auto"/>
          <w:spacing w:val="-10"/>
          <w:highlight w:val="none"/>
        </w:rPr>
        <w:t>2000</w:t>
      </w:r>
      <w:r>
        <w:rPr>
          <w:rFonts w:hint="eastAsia" w:ascii="仿宋_GB2312" w:hAnsi="方正仿宋_GB2312" w:eastAsia="仿宋_GB2312" w:cs="方正仿宋_GB2312"/>
          <w:color w:val="auto"/>
          <w:spacing w:val="-10"/>
          <w:highlight w:val="none"/>
        </w:rPr>
        <w:t>万元、</w:t>
      </w:r>
      <w:r>
        <w:rPr>
          <w:rFonts w:hint="default" w:ascii="Times New Roman" w:hAnsi="Times New Roman" w:eastAsia="仿宋_GB2312" w:cs="Times New Roman"/>
          <w:color w:val="auto"/>
          <w:spacing w:val="-10"/>
          <w:highlight w:val="none"/>
        </w:rPr>
        <w:t>1000</w:t>
      </w:r>
      <w:r>
        <w:rPr>
          <w:rFonts w:hint="eastAsia" w:ascii="仿宋_GB2312" w:hAnsi="方正仿宋_GB2312" w:eastAsia="仿宋_GB2312" w:cs="方正仿宋_GB2312"/>
          <w:color w:val="auto"/>
          <w:spacing w:val="-10"/>
          <w:highlight w:val="none"/>
        </w:rPr>
        <w:t>万元、</w:t>
      </w:r>
      <w:r>
        <w:rPr>
          <w:rFonts w:hint="default" w:ascii="Times New Roman" w:hAnsi="Times New Roman" w:eastAsia="仿宋_GB2312" w:cs="Times New Roman"/>
          <w:color w:val="auto"/>
          <w:spacing w:val="-10"/>
          <w:highlight w:val="none"/>
        </w:rPr>
        <w:t>500</w:t>
      </w:r>
      <w:r>
        <w:rPr>
          <w:rFonts w:hint="eastAsia" w:ascii="仿宋_GB2312" w:hAnsi="方正仿宋_GB2312" w:eastAsia="仿宋_GB2312" w:cs="方正仿宋_GB2312"/>
          <w:color w:val="auto"/>
          <w:spacing w:val="-10"/>
          <w:highlight w:val="none"/>
        </w:rPr>
        <w:t>万元、</w:t>
      </w:r>
      <w:r>
        <w:rPr>
          <w:rFonts w:hint="default" w:ascii="Times New Roman" w:hAnsi="Times New Roman" w:eastAsia="仿宋_GB2312" w:cs="Times New Roman"/>
          <w:color w:val="auto"/>
          <w:spacing w:val="-10"/>
          <w:highlight w:val="none"/>
        </w:rPr>
        <w:t>300</w:t>
      </w:r>
      <w:r>
        <w:rPr>
          <w:rFonts w:hint="eastAsia" w:ascii="仿宋_GB2312" w:hAnsi="方正仿宋_GB2312" w:eastAsia="仿宋_GB2312" w:cs="方正仿宋_GB2312"/>
          <w:color w:val="auto"/>
          <w:spacing w:val="-10"/>
          <w:highlight w:val="none"/>
        </w:rPr>
        <w:t>万元以上的企业，经审核，分别给予一次性奖励</w:t>
      </w:r>
      <w:r>
        <w:rPr>
          <w:rFonts w:hint="default" w:ascii="Times New Roman" w:hAnsi="Times New Roman" w:eastAsia="仿宋_GB2312" w:cs="Times New Roman"/>
          <w:color w:val="auto"/>
          <w:spacing w:val="-10"/>
          <w:highlight w:val="none"/>
        </w:rPr>
        <w:t>50</w:t>
      </w:r>
      <w:r>
        <w:rPr>
          <w:rFonts w:hint="eastAsia" w:ascii="仿宋_GB2312" w:hAnsi="方正仿宋_GB2312" w:eastAsia="仿宋_GB2312" w:cs="方正仿宋_GB2312"/>
          <w:color w:val="auto"/>
          <w:spacing w:val="-10"/>
          <w:highlight w:val="none"/>
        </w:rPr>
        <w:t>万元、</w:t>
      </w:r>
      <w:r>
        <w:rPr>
          <w:rFonts w:hint="default" w:ascii="Times New Roman" w:hAnsi="Times New Roman" w:eastAsia="仿宋_GB2312" w:cs="Times New Roman"/>
          <w:color w:val="auto"/>
          <w:spacing w:val="-10"/>
          <w:highlight w:val="none"/>
        </w:rPr>
        <w:t>30</w:t>
      </w:r>
      <w:r>
        <w:rPr>
          <w:rFonts w:hint="eastAsia" w:ascii="仿宋_GB2312" w:hAnsi="方正仿宋_GB2312" w:eastAsia="仿宋_GB2312" w:cs="方正仿宋_GB2312"/>
          <w:color w:val="auto"/>
          <w:spacing w:val="-10"/>
          <w:highlight w:val="none"/>
        </w:rPr>
        <w:t>万元、</w:t>
      </w:r>
      <w:r>
        <w:rPr>
          <w:rFonts w:hint="default" w:ascii="Times New Roman" w:hAnsi="Times New Roman" w:eastAsia="仿宋_GB2312" w:cs="Times New Roman"/>
          <w:color w:val="auto"/>
          <w:spacing w:val="-10"/>
          <w:highlight w:val="none"/>
        </w:rPr>
        <w:t>15</w:t>
      </w:r>
      <w:r>
        <w:rPr>
          <w:rFonts w:hint="eastAsia" w:ascii="仿宋_GB2312" w:hAnsi="方正仿宋_GB2312" w:eastAsia="仿宋_GB2312" w:cs="方正仿宋_GB2312"/>
          <w:color w:val="auto"/>
          <w:spacing w:val="-10"/>
          <w:highlight w:val="none"/>
        </w:rPr>
        <w:t>万元、</w:t>
      </w:r>
      <w:r>
        <w:rPr>
          <w:rFonts w:hint="default" w:ascii="Times New Roman" w:hAnsi="Times New Roman" w:eastAsia="仿宋_GB2312" w:cs="Times New Roman"/>
          <w:color w:val="auto"/>
          <w:spacing w:val="-10"/>
          <w:highlight w:val="none"/>
        </w:rPr>
        <w:t>6</w:t>
      </w:r>
      <w:r>
        <w:rPr>
          <w:rFonts w:hint="eastAsia" w:ascii="仿宋_GB2312" w:hAnsi="方正仿宋_GB2312" w:eastAsia="仿宋_GB2312" w:cs="方正仿宋_GB2312"/>
          <w:color w:val="auto"/>
          <w:spacing w:val="-10"/>
          <w:highlight w:val="none"/>
        </w:rPr>
        <w:t>万元。</w:t>
      </w:r>
    </w:p>
    <w:p w14:paraId="38D7A574">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11</w:t>
      </w:r>
      <w:r>
        <w:rPr>
          <w:rFonts w:ascii="仿宋_GB2312" w:eastAsia="仿宋_GB2312"/>
          <w:b/>
          <w:color w:val="auto"/>
          <w:spacing w:val="-10"/>
          <w:highlight w:val="none"/>
        </w:rPr>
        <w:t>．鼓励文体旅融合发展</w:t>
      </w:r>
    </w:p>
    <w:p w14:paraId="0EE49E22">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对获评“中国体育旅游十佳精品项目”的，给予一次性奖励</w:t>
      </w:r>
      <w:r>
        <w:rPr>
          <w:rFonts w:hint="default" w:ascii="Times New Roman" w:hAnsi="Times New Roman" w:eastAsia="仿宋_GB2312" w:cs="Times New Roman"/>
          <w:color w:val="auto"/>
          <w:spacing w:val="-10"/>
          <w:highlight w:val="none"/>
        </w:rPr>
        <w:t>30</w:t>
      </w:r>
      <w:r>
        <w:rPr>
          <w:rFonts w:hint="eastAsia" w:ascii="仿宋_GB2312" w:hAnsi="方正仿宋_GB2312" w:eastAsia="仿宋_GB2312" w:cs="方正仿宋_GB2312"/>
          <w:color w:val="auto"/>
          <w:spacing w:val="-10"/>
          <w:highlight w:val="none"/>
        </w:rPr>
        <w:t>万元。</w:t>
      </w:r>
    </w:p>
    <w:p w14:paraId="1C5CF4D5">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12</w:t>
      </w:r>
      <w:r>
        <w:rPr>
          <w:rFonts w:ascii="仿宋_GB2312" w:eastAsia="仿宋_GB2312"/>
          <w:b/>
          <w:color w:val="auto"/>
          <w:spacing w:val="-10"/>
          <w:highlight w:val="none"/>
        </w:rPr>
        <w:t>．鼓励文化对外交流</w:t>
      </w:r>
    </w:p>
    <w:p w14:paraId="23A7B9F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我区优势文化项目通过政府渠道赴国外及港、澳、台地区进行展演、展览、展销等出海活动，出海企业应在开展项目前向区旅委备案。经审核，按实际投资额的</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%给予扶持，单个项目最高不超过</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万。</w:t>
      </w:r>
    </w:p>
    <w:p w14:paraId="015F2043">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13</w:t>
      </w:r>
      <w:r>
        <w:rPr>
          <w:rFonts w:ascii="仿宋_GB2312" w:eastAsia="仿宋_GB2312"/>
          <w:b/>
          <w:color w:val="auto"/>
          <w:spacing w:val="-10"/>
          <w:highlight w:val="none"/>
        </w:rPr>
        <w:t>．推动重大项目落地</w:t>
      </w:r>
    </w:p>
    <w:p w14:paraId="6441051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在农、文、康、旅领域新增投资的重大项目，实际投资额达到</w:t>
      </w:r>
      <w:r>
        <w:rPr>
          <w:rFonts w:hint="default" w:ascii="Times New Roman" w:hAnsi="Times New Roman" w:eastAsia="仿宋_GB2312" w:cs="Times New Roman"/>
          <w:color w:val="auto"/>
          <w:spacing w:val="-10"/>
          <w:highlight w:val="none"/>
        </w:rPr>
        <w:t>500</w:t>
      </w:r>
      <w:r>
        <w:rPr>
          <w:rFonts w:hint="eastAsia" w:ascii="仿宋_GB2312" w:hAnsi="方正仿宋_GB2312" w:eastAsia="仿宋_GB2312" w:cs="方正仿宋_GB2312"/>
          <w:color w:val="auto"/>
          <w:spacing w:val="-10"/>
          <w:highlight w:val="none"/>
        </w:rPr>
        <w:t>万元及以上，且有一定地方经济或社会贡献的，经评审，按实际投资额的</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%给予扶持，单个项目扶持资金不超过</w:t>
      </w:r>
      <w:r>
        <w:rPr>
          <w:rFonts w:hint="default" w:ascii="Times New Roman" w:hAnsi="Times New Roman" w:eastAsia="仿宋_GB2312" w:cs="Times New Roman"/>
          <w:color w:val="auto"/>
          <w:spacing w:val="-10"/>
          <w:highlight w:val="none"/>
        </w:rPr>
        <w:t>300</w:t>
      </w:r>
      <w:r>
        <w:rPr>
          <w:rFonts w:hint="eastAsia" w:ascii="仿宋_GB2312" w:hAnsi="方正仿宋_GB2312" w:eastAsia="仿宋_GB2312" w:cs="方正仿宋_GB2312"/>
          <w:color w:val="auto"/>
          <w:spacing w:val="-10"/>
          <w:highlight w:val="none"/>
        </w:rPr>
        <w:t>万元。其中，体育场馆运营、体育赛事、体育培训、体育装备类项目，实际投资额达到</w:t>
      </w:r>
      <w:r>
        <w:rPr>
          <w:rFonts w:hint="default" w:ascii="Times New Roman" w:hAnsi="Times New Roman" w:eastAsia="仿宋_GB2312" w:cs="Times New Roman"/>
          <w:color w:val="auto"/>
          <w:spacing w:val="-10"/>
          <w:highlight w:val="none"/>
        </w:rPr>
        <w:t>200</w:t>
      </w:r>
      <w:r>
        <w:rPr>
          <w:rFonts w:hint="eastAsia" w:ascii="仿宋_GB2312" w:hAnsi="方正仿宋_GB2312" w:eastAsia="仿宋_GB2312" w:cs="方正仿宋_GB2312"/>
          <w:color w:val="auto"/>
          <w:spacing w:val="-10"/>
          <w:highlight w:val="none"/>
        </w:rPr>
        <w:t>万元及以上，且有一定地方经济或社会贡献的，经评审，按实际投资额的</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%给予扶持，单个项目扶持资金不超过</w:t>
      </w:r>
      <w:r>
        <w:rPr>
          <w:rFonts w:hint="default" w:ascii="Times New Roman" w:hAnsi="Times New Roman" w:eastAsia="仿宋_GB2312" w:cs="Times New Roman"/>
          <w:color w:val="auto"/>
          <w:spacing w:val="-10"/>
          <w:highlight w:val="none"/>
        </w:rPr>
        <w:t>300</w:t>
      </w:r>
      <w:r>
        <w:rPr>
          <w:rFonts w:hint="eastAsia" w:ascii="仿宋_GB2312" w:hAnsi="方正仿宋_GB2312" w:eastAsia="仿宋_GB2312" w:cs="方正仿宋_GB2312"/>
          <w:color w:val="auto"/>
          <w:spacing w:val="-10"/>
          <w:highlight w:val="none"/>
        </w:rPr>
        <w:t>万元。</w:t>
      </w:r>
    </w:p>
    <w:p w14:paraId="7C9773AE">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对数字文化领域的新增投资项目，经审核，可适当放宽扶持标准。对重大文体旅平台载体、文化核心领域项目等，可以采取“一事一议”的方式给予政策扶持，最高扶持金额不超过</w:t>
      </w:r>
      <w:r>
        <w:rPr>
          <w:rFonts w:hint="default" w:ascii="Times New Roman" w:hAnsi="Times New Roman" w:eastAsia="仿宋_GB2312" w:cs="Times New Roman"/>
          <w:color w:val="auto"/>
          <w:spacing w:val="-10"/>
          <w:highlight w:val="none"/>
        </w:rPr>
        <w:t>1</w:t>
      </w:r>
      <w:r>
        <w:rPr>
          <w:rFonts w:hint="eastAsia" w:ascii="仿宋_GB2312" w:hAnsi="方正仿宋_GB2312" w:eastAsia="仿宋_GB2312" w:cs="方正仿宋_GB2312"/>
          <w:color w:val="auto"/>
          <w:spacing w:val="-10"/>
          <w:highlight w:val="none"/>
        </w:rPr>
        <w:t>亿元。产业分类以国家统计局最新发布为准。</w:t>
      </w:r>
    </w:p>
    <w:p w14:paraId="083FC656">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楷体_GB2312" w:eastAsia="楷体_GB2312"/>
          <w:color w:val="auto"/>
          <w:spacing w:val="-10"/>
          <w:highlight w:val="none"/>
        </w:rPr>
      </w:pPr>
      <w:r>
        <w:rPr>
          <w:rFonts w:ascii="楷体_GB2312" w:eastAsia="楷体_GB2312"/>
          <w:color w:val="auto"/>
          <w:spacing w:val="-10"/>
          <w:highlight w:val="none"/>
        </w:rPr>
        <w:t>（四）激发潜力，储备产业发展动能</w:t>
      </w:r>
    </w:p>
    <w:p w14:paraId="5796052A">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14</w:t>
      </w:r>
      <w:r>
        <w:rPr>
          <w:rFonts w:ascii="仿宋_GB2312" w:eastAsia="仿宋_GB2312"/>
          <w:b/>
          <w:color w:val="auto"/>
          <w:spacing w:val="-10"/>
          <w:highlight w:val="none"/>
        </w:rPr>
        <w:t>．做好产业发展服务</w:t>
      </w:r>
    </w:p>
    <w:p w14:paraId="35636DC6">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为落实我区文化产业高质量发展的相关工作和活动，由区文化体育和旅游局按当年实际工作开展情况进行经费申请和使用，总金额不超过</w:t>
      </w:r>
      <w:r>
        <w:rPr>
          <w:rFonts w:hint="default" w:ascii="Times New Roman" w:hAnsi="Times New Roman" w:eastAsia="仿宋_GB2312" w:cs="Times New Roman"/>
          <w:color w:val="auto"/>
          <w:spacing w:val="-10"/>
          <w:highlight w:val="none"/>
        </w:rPr>
        <w:t>200</w:t>
      </w:r>
      <w:r>
        <w:rPr>
          <w:rFonts w:hint="eastAsia" w:ascii="仿宋_GB2312" w:hAnsi="方正仿宋_GB2312" w:eastAsia="仿宋_GB2312" w:cs="方正仿宋_GB2312"/>
          <w:color w:val="auto"/>
          <w:spacing w:val="-10"/>
          <w:highlight w:val="none"/>
        </w:rPr>
        <w:t>万元。使用范围包括促进文体旅消费，产业数据平台建设，人才培养与提升，引导资金评审、绩效、审计，文体旅产业课题研究，规划和名录库统计，参加文体旅产业展会和交流，文体产业宣传推广等。</w:t>
      </w:r>
    </w:p>
    <w:p w14:paraId="20D7A5A8">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楷体_GB2312" w:eastAsia="楷体_GB2312"/>
          <w:color w:val="auto"/>
          <w:spacing w:val="-10"/>
          <w:highlight w:val="none"/>
        </w:rPr>
      </w:pPr>
      <w:r>
        <w:rPr>
          <w:rFonts w:ascii="楷体_GB2312" w:eastAsia="楷体_GB2312"/>
          <w:color w:val="auto"/>
          <w:spacing w:val="-10"/>
          <w:highlight w:val="none"/>
        </w:rPr>
        <w:t>(五)重视统筹配套，夯实文旅发展保障基础</w:t>
      </w:r>
    </w:p>
    <w:p w14:paraId="77113650">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color w:val="auto"/>
          <w:spacing w:val="-10"/>
          <w:highlight w:val="none"/>
        </w:rPr>
      </w:pPr>
      <w:r>
        <w:rPr>
          <w:rFonts w:hint="eastAsia" w:ascii="仿宋_GB2312" w:eastAsia="仿宋_GB2312"/>
          <w:color w:val="auto"/>
          <w:spacing w:val="-10"/>
          <w:highlight w:val="none"/>
        </w:rPr>
        <w:t>通过顶层设计，统筹旅游公共设施配套、文旅人才的培育和</w:t>
      </w:r>
    </w:p>
    <w:p w14:paraId="5F21B0D6">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color w:val="auto"/>
          <w:spacing w:val="-10"/>
          <w:highlight w:val="none"/>
        </w:rPr>
      </w:pPr>
      <w:r>
        <w:rPr>
          <w:rFonts w:hint="eastAsia" w:ascii="仿宋_GB2312" w:eastAsia="仿宋_GB2312"/>
          <w:color w:val="auto"/>
          <w:spacing w:val="-10"/>
          <w:highlight w:val="none"/>
        </w:rPr>
        <w:t>招引，推动全区文旅行业可持续发展。</w:t>
      </w:r>
    </w:p>
    <w:p w14:paraId="7A591B5D">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15</w:t>
      </w:r>
      <w:r>
        <w:rPr>
          <w:rFonts w:ascii="仿宋_GB2312" w:eastAsia="仿宋_GB2312"/>
          <w:b/>
          <w:color w:val="auto"/>
          <w:spacing w:val="-10"/>
          <w:highlight w:val="none"/>
        </w:rPr>
        <w:t>．加强旅游公共服务提升</w:t>
      </w:r>
    </w:p>
    <w:p w14:paraId="78D0E134">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color w:val="auto"/>
          <w:spacing w:val="-10"/>
          <w:highlight w:val="none"/>
        </w:rPr>
      </w:pPr>
      <w:r>
        <w:rPr>
          <w:rFonts w:hint="eastAsia" w:ascii="仿宋_GB2312" w:eastAsia="仿宋_GB2312"/>
          <w:color w:val="auto"/>
          <w:spacing w:val="-10"/>
          <w:highlight w:val="none"/>
        </w:rPr>
        <w:t>加强区域性旅游交通、旅游驿站、旅游个性化服务、旅游厕所等方面的公共设施配置，单个新建旅游公共服务项目总投资额不得低于</w:t>
      </w:r>
      <w:r>
        <w:rPr>
          <w:rFonts w:hint="default" w:ascii="Times New Roman" w:hAnsi="Times New Roman" w:eastAsia="仿宋_GB2312" w:cs="Times New Roman"/>
          <w:color w:val="auto"/>
          <w:spacing w:val="-10"/>
          <w:highlight w:val="none"/>
        </w:rPr>
        <w:t>50</w:t>
      </w:r>
      <w:r>
        <w:rPr>
          <w:rFonts w:hint="eastAsia" w:ascii="仿宋_GB2312" w:eastAsia="仿宋_GB2312"/>
          <w:color w:val="auto"/>
          <w:spacing w:val="-10"/>
          <w:highlight w:val="none"/>
        </w:rPr>
        <w:t>万，按总投资额的</w:t>
      </w:r>
      <w:r>
        <w:rPr>
          <w:rFonts w:hint="default" w:ascii="Times New Roman" w:hAnsi="Times New Roman" w:eastAsia="仿宋_GB2312" w:cs="Times New Roman"/>
          <w:color w:val="auto"/>
          <w:spacing w:val="-10"/>
          <w:highlight w:val="none"/>
        </w:rPr>
        <w:t>30</w:t>
      </w:r>
      <w:r>
        <w:rPr>
          <w:rFonts w:hint="eastAsia" w:ascii="仿宋_GB2312" w:eastAsia="仿宋_GB2312"/>
          <w:color w:val="auto"/>
          <w:spacing w:val="-10"/>
          <w:highlight w:val="none"/>
        </w:rPr>
        <w:t>%给予补助，单个项目扶持资金不超过</w:t>
      </w:r>
      <w:r>
        <w:rPr>
          <w:rFonts w:hint="default" w:ascii="Times New Roman" w:hAnsi="Times New Roman" w:eastAsia="仿宋_GB2312" w:cs="Times New Roman"/>
          <w:color w:val="auto"/>
          <w:spacing w:val="-10"/>
          <w:highlight w:val="none"/>
        </w:rPr>
        <w:t>100</w:t>
      </w:r>
      <w:r>
        <w:rPr>
          <w:rFonts w:hint="eastAsia" w:ascii="仿宋_GB2312" w:eastAsia="仿宋_GB2312"/>
          <w:color w:val="auto"/>
          <w:spacing w:val="-10"/>
          <w:highlight w:val="none"/>
        </w:rPr>
        <w:t>万元。</w:t>
      </w:r>
    </w:p>
    <w:p w14:paraId="2759E443">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楷体_GB2312" w:eastAsia="楷体_GB2312"/>
          <w:color w:val="auto"/>
          <w:spacing w:val="-10"/>
          <w:highlight w:val="none"/>
        </w:rPr>
      </w:pPr>
      <w:r>
        <w:rPr>
          <w:rFonts w:ascii="楷体_GB2312" w:eastAsia="楷体_GB2312"/>
          <w:color w:val="auto"/>
          <w:spacing w:val="-10"/>
          <w:highlight w:val="none"/>
        </w:rPr>
        <w:t>（六）促进提档升级，鼓励文旅经营者做精做强</w:t>
      </w:r>
    </w:p>
    <w:p w14:paraId="61201405">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进一步推进文旅标准化建设，充分发挥标准化建设在文旅产业发展中的示范引领作用，提升文旅标准化工作服务于经济社会发展的能力。</w:t>
      </w:r>
    </w:p>
    <w:p w14:paraId="322107C2">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16</w:t>
      </w:r>
      <w:r>
        <w:rPr>
          <w:rFonts w:ascii="仿宋_GB2312" w:eastAsia="仿宋_GB2312"/>
          <w:b/>
          <w:color w:val="auto"/>
          <w:spacing w:val="-10"/>
          <w:highlight w:val="none"/>
        </w:rPr>
        <w:t>．特色创建提升</w:t>
      </w:r>
    </w:p>
    <w:p w14:paraId="352A9AC5">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成功创建国家</w:t>
      </w:r>
      <w:r>
        <w:rPr>
          <w:rFonts w:hint="default" w:ascii="Times New Roman" w:hAnsi="Times New Roman" w:eastAsia="仿宋_GB2312" w:cs="Times New Roman"/>
          <w:color w:val="auto"/>
          <w:spacing w:val="-10"/>
          <w:highlight w:val="none"/>
        </w:rPr>
        <w:t>5</w:t>
      </w:r>
      <w:r>
        <w:rPr>
          <w:rFonts w:hint="eastAsia" w:ascii="仿宋_GB2312" w:hAnsi="方正仿宋_GB2312" w:eastAsia="仿宋_GB2312" w:cs="方正仿宋_GB2312"/>
          <w:color w:val="auto"/>
          <w:spacing w:val="-10"/>
          <w:highlight w:val="none"/>
        </w:rPr>
        <w:t>A 级景区，一次性奖励</w:t>
      </w:r>
      <w:r>
        <w:rPr>
          <w:rFonts w:hint="default" w:ascii="Times New Roman" w:hAnsi="Times New Roman" w:eastAsia="仿宋_GB2312" w:cs="Times New Roman"/>
          <w:color w:val="auto"/>
          <w:spacing w:val="-10"/>
          <w:highlight w:val="none"/>
        </w:rPr>
        <w:t>800</w:t>
      </w:r>
      <w:r>
        <w:rPr>
          <w:rFonts w:hint="eastAsia" w:ascii="仿宋_GB2312" w:hAnsi="方正仿宋_GB2312" w:eastAsia="仿宋_GB2312" w:cs="方正仿宋_GB2312"/>
          <w:color w:val="auto"/>
          <w:spacing w:val="-10"/>
          <w:highlight w:val="none"/>
        </w:rPr>
        <w:t>万元，国家</w:t>
      </w:r>
      <w:r>
        <w:rPr>
          <w:rFonts w:hint="default" w:ascii="Times New Roman" w:hAnsi="Times New Roman" w:eastAsia="仿宋_GB2312" w:cs="Times New Roman"/>
          <w:color w:val="auto"/>
          <w:spacing w:val="-10"/>
          <w:highlight w:val="none"/>
        </w:rPr>
        <w:t>4</w:t>
      </w:r>
      <w:r>
        <w:rPr>
          <w:rFonts w:hint="eastAsia" w:ascii="仿宋_GB2312" w:hAnsi="方正仿宋_GB2312" w:eastAsia="仿宋_GB2312" w:cs="方正仿宋_GB2312"/>
          <w:color w:val="auto"/>
          <w:spacing w:val="-10"/>
          <w:highlight w:val="none"/>
        </w:rPr>
        <w:t>A 级景区一次性奖励</w:t>
      </w:r>
      <w:r>
        <w:rPr>
          <w:rFonts w:hint="default" w:ascii="Times New Roman" w:hAnsi="Times New Roman" w:eastAsia="仿宋_GB2312" w:cs="Times New Roman"/>
          <w:color w:val="auto"/>
          <w:spacing w:val="-10"/>
          <w:highlight w:val="none"/>
        </w:rPr>
        <w:t>200</w:t>
      </w:r>
      <w:r>
        <w:rPr>
          <w:rFonts w:hint="eastAsia" w:ascii="仿宋_GB2312" w:hAnsi="方正仿宋_GB2312" w:eastAsia="仿宋_GB2312" w:cs="方正仿宋_GB2312"/>
          <w:color w:val="auto"/>
          <w:spacing w:val="-10"/>
          <w:highlight w:val="none"/>
        </w:rPr>
        <w:t>万元；成功创建国家旅游休闲街区一次性奖励</w:t>
      </w:r>
      <w:r>
        <w:rPr>
          <w:rFonts w:hint="default" w:ascii="Times New Roman" w:hAnsi="Times New Roman" w:eastAsia="仿宋_GB2312" w:cs="Times New Roman"/>
          <w:color w:val="auto"/>
          <w:spacing w:val="-10"/>
          <w:highlight w:val="none"/>
        </w:rPr>
        <w:t>30</w:t>
      </w:r>
      <w:r>
        <w:rPr>
          <w:rFonts w:hint="eastAsia" w:ascii="仿宋_GB2312" w:hAnsi="方正仿宋_GB2312" w:eastAsia="仿宋_GB2312" w:cs="方正仿宋_GB2312"/>
          <w:color w:val="auto"/>
          <w:spacing w:val="-10"/>
          <w:highlight w:val="none"/>
        </w:rPr>
        <w:t>万元，江苏省旅游休闲街区一次性奖励</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万元；成功创建全国乡村旅</w:t>
      </w:r>
      <w:r>
        <w:rPr>
          <w:rFonts w:ascii="仿宋_GB2312" w:hAnsi="方正仿宋_GB2312" w:eastAsia="仿宋_GB2312" w:cs="方正仿宋_GB2312"/>
          <w:color w:val="auto"/>
          <w:spacing w:val="-10"/>
          <w:highlight w:val="none"/>
        </w:rPr>
        <w:t>游重点村（镇）一次性奖励</w:t>
      </w:r>
      <w:r>
        <w:rPr>
          <w:rFonts w:hint="default" w:ascii="Times New Roman" w:hAnsi="Times New Roman" w:eastAsia="仿宋_GB2312" w:cs="Times New Roman"/>
          <w:color w:val="auto"/>
          <w:spacing w:val="-10"/>
          <w:highlight w:val="none"/>
        </w:rPr>
        <w:t>60</w:t>
      </w:r>
      <w:r>
        <w:rPr>
          <w:rFonts w:ascii="仿宋_GB2312" w:hAnsi="方正仿宋_GB2312" w:eastAsia="仿宋_GB2312" w:cs="方正仿宋_GB2312"/>
          <w:color w:val="auto"/>
          <w:spacing w:val="-10"/>
          <w:highlight w:val="none"/>
        </w:rPr>
        <w:t>万元；成功创建江苏省乡村旅游重点村（镇）一次性奖励</w:t>
      </w:r>
      <w:r>
        <w:rPr>
          <w:rFonts w:hint="default" w:ascii="Times New Roman" w:hAnsi="Times New Roman" w:eastAsia="仿宋_GB2312" w:cs="Times New Roman"/>
          <w:color w:val="auto"/>
          <w:spacing w:val="-10"/>
          <w:highlight w:val="none"/>
        </w:rPr>
        <w:t>30</w:t>
      </w:r>
      <w:r>
        <w:rPr>
          <w:rFonts w:ascii="仿宋_GB2312" w:hAnsi="方正仿宋_GB2312" w:eastAsia="仿宋_GB2312" w:cs="方正仿宋_GB2312"/>
          <w:color w:val="auto"/>
          <w:spacing w:val="-10"/>
          <w:highlight w:val="none"/>
        </w:rPr>
        <w:t>万元，苏州市乡村旅</w:t>
      </w:r>
      <w:r>
        <w:rPr>
          <w:rFonts w:eastAsia="仿宋_GB2312"/>
          <w:color w:val="auto"/>
          <w:spacing w:val="-10"/>
          <w:highlight w:val="none"/>
        </w:rPr>
        <w:t>游重点村（镇）一次性奖励</w:t>
      </w:r>
      <w:r>
        <w:rPr>
          <w:rFonts w:hint="default" w:ascii="Times New Roman" w:hAnsi="Times New Roman" w:eastAsia="仿宋_GB2312" w:cs="Times New Roman"/>
          <w:color w:val="auto"/>
          <w:spacing w:val="-10"/>
          <w:highlight w:val="none"/>
        </w:rPr>
        <w:t>10</w:t>
      </w:r>
      <w:r>
        <w:rPr>
          <w:rFonts w:eastAsia="仿宋_GB2312"/>
          <w:color w:val="auto"/>
          <w:spacing w:val="-10"/>
          <w:highlight w:val="none"/>
        </w:rPr>
        <w:t>万元。对现有已获评乡村旅游重点村（镇）晋升等级的，补助奖励差额；</w:t>
      </w:r>
      <w:r>
        <w:rPr>
          <w:rFonts w:hint="eastAsia" w:ascii="仿宋_GB2312" w:hAnsi="方正仿宋_GB2312" w:eastAsia="仿宋_GB2312" w:cs="方正仿宋_GB2312"/>
          <w:color w:val="auto"/>
          <w:spacing w:val="-10"/>
          <w:highlight w:val="none"/>
        </w:rPr>
        <w:t>成功创建国家级工业旅游示范基地（旅游区）一次性奖励</w:t>
      </w:r>
      <w:r>
        <w:rPr>
          <w:rFonts w:hint="default" w:ascii="Times New Roman" w:hAnsi="Times New Roman" w:eastAsia="仿宋_GB2312" w:cs="Times New Roman"/>
          <w:color w:val="auto"/>
          <w:spacing w:val="-10"/>
          <w:highlight w:val="none"/>
        </w:rPr>
        <w:t>30</w:t>
      </w:r>
      <w:r>
        <w:rPr>
          <w:rFonts w:hint="eastAsia" w:ascii="仿宋_GB2312" w:hAnsi="方正仿宋_GB2312" w:eastAsia="仿宋_GB2312" w:cs="方正仿宋_GB2312"/>
          <w:color w:val="auto"/>
          <w:spacing w:val="-10"/>
          <w:highlight w:val="none"/>
        </w:rPr>
        <w:t>万元，江苏省工业旅游示范基地（旅游区）一次性奖励</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万元。现有已获评工业旅游示范基地（旅游区）晋升等级的，补助奖励差额。</w:t>
      </w:r>
    </w:p>
    <w:p w14:paraId="79F2B7A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鼓励区内A级景区按照《旅游景区质量等级划分与评定标准》全面提升服务品质，通过各级文旅部门年度考核的，</w:t>
      </w:r>
      <w:r>
        <w:rPr>
          <w:rFonts w:hint="default" w:ascii="Times New Roman" w:hAnsi="Times New Roman" w:eastAsia="仿宋_GB2312" w:cs="Times New Roman"/>
          <w:color w:val="auto"/>
          <w:spacing w:val="-10"/>
          <w:highlight w:val="none"/>
        </w:rPr>
        <w:t>5</w:t>
      </w:r>
      <w:r>
        <w:rPr>
          <w:rFonts w:hint="eastAsia" w:ascii="仿宋_GB2312" w:hAnsi="方正仿宋_GB2312" w:eastAsia="仿宋_GB2312" w:cs="方正仿宋_GB2312"/>
          <w:color w:val="auto"/>
          <w:spacing w:val="-10"/>
          <w:highlight w:val="none"/>
        </w:rPr>
        <w:t>A 级开放式景区一次性奖励</w:t>
      </w:r>
      <w:r>
        <w:rPr>
          <w:rFonts w:hint="default" w:ascii="Times New Roman" w:hAnsi="Times New Roman" w:eastAsia="仿宋_GB2312" w:cs="Times New Roman"/>
          <w:color w:val="auto"/>
          <w:spacing w:val="-10"/>
          <w:highlight w:val="none"/>
        </w:rPr>
        <w:t>50</w:t>
      </w:r>
      <w:r>
        <w:rPr>
          <w:rFonts w:hint="eastAsia" w:ascii="仿宋_GB2312" w:hAnsi="方正仿宋_GB2312" w:eastAsia="仿宋_GB2312" w:cs="方正仿宋_GB2312"/>
          <w:color w:val="auto"/>
          <w:spacing w:val="-10"/>
          <w:highlight w:val="none"/>
        </w:rPr>
        <w:t>万元/年，</w:t>
      </w:r>
      <w:r>
        <w:rPr>
          <w:rFonts w:hint="default" w:ascii="Times New Roman" w:hAnsi="Times New Roman" w:eastAsia="仿宋_GB2312" w:cs="Times New Roman"/>
          <w:color w:val="auto"/>
          <w:spacing w:val="-10"/>
          <w:highlight w:val="none"/>
        </w:rPr>
        <w:t>5</w:t>
      </w:r>
      <w:r>
        <w:rPr>
          <w:rFonts w:hint="eastAsia" w:ascii="仿宋_GB2312" w:hAnsi="方正仿宋_GB2312" w:eastAsia="仿宋_GB2312" w:cs="方正仿宋_GB2312"/>
          <w:color w:val="auto"/>
          <w:spacing w:val="-10"/>
          <w:highlight w:val="none"/>
        </w:rPr>
        <w:t>A 级封闭式景区一次性奖励</w:t>
      </w:r>
      <w:r>
        <w:rPr>
          <w:rFonts w:hint="default" w:ascii="Times New Roman" w:hAnsi="Times New Roman" w:eastAsia="仿宋_GB2312" w:cs="Times New Roman"/>
          <w:color w:val="auto"/>
          <w:spacing w:val="-10"/>
          <w:highlight w:val="none"/>
        </w:rPr>
        <w:t>30</w:t>
      </w:r>
      <w:r>
        <w:rPr>
          <w:rFonts w:hint="eastAsia" w:ascii="仿宋_GB2312" w:hAnsi="方正仿宋_GB2312" w:eastAsia="仿宋_GB2312" w:cs="方正仿宋_GB2312"/>
          <w:color w:val="auto"/>
          <w:spacing w:val="-10"/>
          <w:highlight w:val="none"/>
        </w:rPr>
        <w:t>万元/年，</w:t>
      </w:r>
      <w:r>
        <w:rPr>
          <w:rFonts w:hint="default" w:ascii="Times New Roman" w:hAnsi="Times New Roman" w:eastAsia="仿宋_GB2312" w:cs="Times New Roman"/>
          <w:color w:val="auto"/>
          <w:spacing w:val="-10"/>
          <w:highlight w:val="none"/>
        </w:rPr>
        <w:t>4</w:t>
      </w:r>
      <w:r>
        <w:rPr>
          <w:rFonts w:hint="eastAsia" w:ascii="仿宋_GB2312" w:hAnsi="方正仿宋_GB2312" w:eastAsia="仿宋_GB2312" w:cs="方正仿宋_GB2312"/>
          <w:color w:val="auto"/>
          <w:spacing w:val="-10"/>
          <w:highlight w:val="none"/>
        </w:rPr>
        <w:t>A 级景区一次性奖励</w:t>
      </w:r>
      <w:r>
        <w:rPr>
          <w:rFonts w:hint="default" w:ascii="Times New Roman" w:hAnsi="Times New Roman" w:eastAsia="仿宋_GB2312" w:cs="Times New Roman"/>
          <w:color w:val="auto"/>
          <w:spacing w:val="-10"/>
          <w:highlight w:val="none"/>
        </w:rPr>
        <w:t>30</w:t>
      </w:r>
      <w:r>
        <w:rPr>
          <w:rFonts w:hint="eastAsia" w:ascii="仿宋_GB2312" w:hAnsi="方正仿宋_GB2312" w:eastAsia="仿宋_GB2312" w:cs="方正仿宋_GB2312"/>
          <w:color w:val="auto"/>
          <w:spacing w:val="-10"/>
          <w:highlight w:val="none"/>
        </w:rPr>
        <w:t>万元/年。</w:t>
      </w:r>
    </w:p>
    <w:p w14:paraId="3944B7E7">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17</w:t>
      </w:r>
      <w:r>
        <w:rPr>
          <w:rFonts w:ascii="仿宋_GB2312" w:eastAsia="仿宋_GB2312"/>
          <w:b/>
          <w:color w:val="auto"/>
          <w:spacing w:val="-10"/>
          <w:highlight w:val="none"/>
        </w:rPr>
        <w:t>．鼓励旅游民宿规范经营和提档升级</w:t>
      </w:r>
    </w:p>
    <w:p w14:paraId="2ADA281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w:t>
      </w:r>
      <w:r>
        <w:rPr>
          <w:rFonts w:hint="default" w:ascii="Times New Roman" w:hAnsi="Times New Roman" w:eastAsia="仿宋_GB2312" w:cs="Times New Roman"/>
          <w:color w:val="auto"/>
          <w:spacing w:val="-10"/>
          <w:highlight w:val="none"/>
        </w:rPr>
        <w:t>1</w:t>
      </w:r>
      <w:r>
        <w:rPr>
          <w:rFonts w:hint="eastAsia" w:ascii="仿宋_GB2312" w:hAnsi="方正仿宋_GB2312" w:eastAsia="仿宋_GB2312" w:cs="方正仿宋_GB2312"/>
          <w:color w:val="auto"/>
          <w:spacing w:val="-10"/>
          <w:highlight w:val="none"/>
        </w:rPr>
        <w:t>）房屋安全性鉴定补贴。旅游民宿首次取得备案登记证或已备案旅游民宿首次复核通过，房屋安全性鉴定等级达到Bsu级以上（含Bsu级）的，一次性给予房屋安全性鉴定资金补贴，标准为：客房数</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间以下（不含</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间）的补贴</w:t>
      </w:r>
      <w:r>
        <w:rPr>
          <w:rFonts w:hint="default" w:ascii="Times New Roman" w:hAnsi="Times New Roman" w:eastAsia="仿宋_GB2312" w:cs="Times New Roman"/>
          <w:color w:val="auto"/>
          <w:spacing w:val="-10"/>
          <w:highlight w:val="none"/>
        </w:rPr>
        <w:t>1</w:t>
      </w:r>
      <w:r>
        <w:rPr>
          <w:rFonts w:hint="eastAsia" w:ascii="仿宋_GB2312" w:hAnsi="方正仿宋_GB2312" w:eastAsia="仿宋_GB2312" w:cs="方正仿宋_GB2312"/>
          <w:color w:val="auto"/>
          <w:spacing w:val="-10"/>
          <w:highlight w:val="none"/>
        </w:rPr>
        <w:t>万元，客房数</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间及以上的补贴</w:t>
      </w:r>
      <w:r>
        <w:rPr>
          <w:rFonts w:hint="default" w:ascii="Times New Roman" w:hAnsi="Times New Roman" w:eastAsia="仿宋_GB2312" w:cs="Times New Roman"/>
          <w:color w:val="auto"/>
          <w:spacing w:val="-10"/>
          <w:highlight w:val="none"/>
        </w:rPr>
        <w:t>1</w:t>
      </w:r>
      <w:r>
        <w:rPr>
          <w:rFonts w:hint="eastAsia" w:ascii="仿宋_GB2312" w:hAnsi="方正仿宋_GB2312" w:eastAsia="仿宋_GB2312" w:cs="方正仿宋_GB2312"/>
          <w:color w:val="auto"/>
          <w:spacing w:val="-10"/>
          <w:highlight w:val="none"/>
        </w:rPr>
        <w:t>.</w:t>
      </w:r>
      <w:r>
        <w:rPr>
          <w:rFonts w:hint="default" w:ascii="Times New Roman" w:hAnsi="Times New Roman" w:eastAsia="仿宋_GB2312" w:cs="Times New Roman"/>
          <w:color w:val="auto"/>
          <w:spacing w:val="-10"/>
          <w:highlight w:val="none"/>
        </w:rPr>
        <w:t>2</w:t>
      </w:r>
      <w:r>
        <w:rPr>
          <w:rFonts w:hint="eastAsia" w:ascii="仿宋_GB2312" w:hAnsi="方正仿宋_GB2312" w:eastAsia="仿宋_GB2312" w:cs="方正仿宋_GB2312"/>
          <w:color w:val="auto"/>
          <w:spacing w:val="-10"/>
          <w:highlight w:val="none"/>
        </w:rPr>
        <w:t xml:space="preserve">万元。同一民宿只享受一次房屋安全性鉴定资金补贴。 </w:t>
      </w:r>
    </w:p>
    <w:p w14:paraId="2CC1828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w:t>
      </w:r>
      <w:r>
        <w:rPr>
          <w:rFonts w:hint="default" w:ascii="Times New Roman" w:hAnsi="Times New Roman" w:eastAsia="仿宋_GB2312" w:cs="Times New Roman"/>
          <w:color w:val="auto"/>
          <w:spacing w:val="-10"/>
          <w:highlight w:val="none"/>
        </w:rPr>
        <w:t>2</w:t>
      </w:r>
      <w:r>
        <w:rPr>
          <w:rFonts w:hint="eastAsia" w:ascii="仿宋_GB2312" w:hAnsi="方正仿宋_GB2312" w:eastAsia="仿宋_GB2312" w:cs="方正仿宋_GB2312"/>
          <w:color w:val="auto"/>
          <w:spacing w:val="-10"/>
          <w:highlight w:val="none"/>
        </w:rPr>
        <w:t>）品牌发展奖励。依据国家标准获评甲级、乙级、丙级旅游民宿的，分别一次性给予</w:t>
      </w:r>
      <w:r>
        <w:rPr>
          <w:rFonts w:hint="default" w:ascii="Times New Roman" w:hAnsi="Times New Roman" w:eastAsia="仿宋_GB2312" w:cs="Times New Roman"/>
          <w:color w:val="auto"/>
          <w:spacing w:val="-10"/>
          <w:highlight w:val="none"/>
        </w:rPr>
        <w:t>20</w:t>
      </w:r>
      <w:r>
        <w:rPr>
          <w:rFonts w:hint="eastAsia" w:ascii="仿宋_GB2312" w:hAnsi="方正仿宋_GB2312" w:eastAsia="仿宋_GB2312" w:cs="方正仿宋_GB2312"/>
          <w:color w:val="auto"/>
          <w:spacing w:val="-10"/>
          <w:highlight w:val="none"/>
        </w:rPr>
        <w:t>万、</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万、</w:t>
      </w:r>
      <w:r>
        <w:rPr>
          <w:rFonts w:hint="default" w:ascii="Times New Roman" w:hAnsi="Times New Roman" w:eastAsia="仿宋_GB2312" w:cs="Times New Roman"/>
          <w:color w:val="auto"/>
          <w:spacing w:val="-10"/>
          <w:highlight w:val="none"/>
        </w:rPr>
        <w:t>5</w:t>
      </w:r>
      <w:r>
        <w:rPr>
          <w:rFonts w:hint="eastAsia" w:ascii="仿宋_GB2312" w:hAnsi="方正仿宋_GB2312" w:eastAsia="仿宋_GB2312" w:cs="方正仿宋_GB2312"/>
          <w:color w:val="auto"/>
          <w:spacing w:val="-10"/>
          <w:highlight w:val="none"/>
        </w:rPr>
        <w:t>万元资金奖励；获评苏州市级及以上精品旅游民宿的，一次性给予</w:t>
      </w:r>
      <w:r>
        <w:rPr>
          <w:rFonts w:hint="default" w:ascii="Times New Roman" w:hAnsi="Times New Roman" w:eastAsia="仿宋_GB2312" w:cs="Times New Roman"/>
          <w:color w:val="auto"/>
          <w:spacing w:val="-10"/>
          <w:highlight w:val="none"/>
        </w:rPr>
        <w:t>5</w:t>
      </w:r>
      <w:r>
        <w:rPr>
          <w:rFonts w:hint="eastAsia" w:ascii="仿宋_GB2312" w:hAnsi="方正仿宋_GB2312" w:eastAsia="仿宋_GB2312" w:cs="方正仿宋_GB2312"/>
          <w:color w:val="auto"/>
          <w:spacing w:val="-10"/>
          <w:highlight w:val="none"/>
        </w:rPr>
        <w:t>万元资金奖励；获评区级五星级、四星级、三星级旅游民宿的，分别一次性给予</w:t>
      </w:r>
      <w:r>
        <w:rPr>
          <w:rFonts w:hint="default" w:ascii="Times New Roman" w:hAnsi="Times New Roman" w:eastAsia="仿宋_GB2312" w:cs="Times New Roman"/>
          <w:color w:val="auto"/>
          <w:spacing w:val="-10"/>
          <w:highlight w:val="none"/>
        </w:rPr>
        <w:t>5</w:t>
      </w:r>
      <w:r>
        <w:rPr>
          <w:rFonts w:hint="eastAsia" w:ascii="仿宋_GB2312" w:hAnsi="方正仿宋_GB2312" w:eastAsia="仿宋_GB2312" w:cs="方正仿宋_GB2312"/>
          <w:color w:val="auto"/>
          <w:spacing w:val="-10"/>
          <w:highlight w:val="none"/>
        </w:rPr>
        <w:t>万元、</w:t>
      </w:r>
      <w:r>
        <w:rPr>
          <w:rFonts w:hint="default" w:ascii="Times New Roman" w:hAnsi="Times New Roman" w:eastAsia="仿宋_GB2312" w:cs="Times New Roman"/>
          <w:color w:val="auto"/>
          <w:spacing w:val="-10"/>
          <w:highlight w:val="none"/>
        </w:rPr>
        <w:t>3</w:t>
      </w:r>
      <w:r>
        <w:rPr>
          <w:rFonts w:hint="eastAsia" w:ascii="仿宋_GB2312" w:hAnsi="方正仿宋_GB2312" w:eastAsia="仿宋_GB2312" w:cs="方正仿宋_GB2312"/>
          <w:color w:val="auto"/>
          <w:spacing w:val="-10"/>
          <w:highlight w:val="none"/>
        </w:rPr>
        <w:t>万元、</w:t>
      </w:r>
      <w:r>
        <w:rPr>
          <w:rFonts w:hint="default" w:ascii="Times New Roman" w:hAnsi="Times New Roman" w:eastAsia="仿宋_GB2312" w:cs="Times New Roman"/>
          <w:color w:val="auto"/>
          <w:spacing w:val="-10"/>
          <w:highlight w:val="none"/>
        </w:rPr>
        <w:t>2</w:t>
      </w:r>
      <w:r>
        <w:rPr>
          <w:rFonts w:hint="eastAsia" w:ascii="仿宋_GB2312" w:hAnsi="方正仿宋_GB2312" w:eastAsia="仿宋_GB2312" w:cs="方正仿宋_GB2312"/>
          <w:color w:val="auto"/>
          <w:spacing w:val="-10"/>
          <w:highlight w:val="none"/>
        </w:rPr>
        <w:t>万元资金奖励。对现有已获评国家等级旅游民宿晋升等级的，补助奖励差额。</w:t>
      </w:r>
    </w:p>
    <w:p w14:paraId="6EA2423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w:t>
      </w:r>
      <w:r>
        <w:rPr>
          <w:rFonts w:hint="default" w:ascii="Times New Roman" w:hAnsi="Times New Roman" w:eastAsia="仿宋_GB2312" w:cs="Times New Roman"/>
          <w:color w:val="auto"/>
          <w:spacing w:val="-10"/>
          <w:highlight w:val="none"/>
        </w:rPr>
        <w:t>3</w:t>
      </w:r>
      <w:r>
        <w:rPr>
          <w:rFonts w:hint="eastAsia" w:ascii="仿宋_GB2312" w:hAnsi="方正仿宋_GB2312" w:eastAsia="仿宋_GB2312" w:cs="方正仿宋_GB2312"/>
          <w:color w:val="auto"/>
          <w:spacing w:val="-10"/>
          <w:highlight w:val="none"/>
        </w:rPr>
        <w:t>）集聚发展奖励。获评省级及以上乡村旅游民宿集聚区的，一次性给予</w:t>
      </w:r>
      <w:r>
        <w:rPr>
          <w:rFonts w:hint="default" w:ascii="Times New Roman" w:hAnsi="Times New Roman" w:eastAsia="仿宋_GB2312" w:cs="Times New Roman"/>
          <w:color w:val="auto"/>
          <w:spacing w:val="-10"/>
          <w:highlight w:val="none"/>
        </w:rPr>
        <w:t>20</w:t>
      </w:r>
      <w:r>
        <w:rPr>
          <w:rFonts w:hint="eastAsia" w:ascii="仿宋_GB2312" w:hAnsi="方正仿宋_GB2312" w:eastAsia="仿宋_GB2312" w:cs="方正仿宋_GB2312"/>
          <w:color w:val="auto"/>
          <w:spacing w:val="-10"/>
          <w:highlight w:val="none"/>
        </w:rPr>
        <w:t>万元资金奖励。</w:t>
      </w:r>
    </w:p>
    <w:p w14:paraId="42E0036F">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18</w:t>
      </w:r>
      <w:r>
        <w:rPr>
          <w:rFonts w:ascii="仿宋_GB2312" w:eastAsia="仿宋_GB2312"/>
          <w:b/>
          <w:color w:val="auto"/>
          <w:spacing w:val="-10"/>
          <w:highlight w:val="none"/>
        </w:rPr>
        <w:t>．鼓励宾馆饭店创星升级</w:t>
      </w:r>
    </w:p>
    <w:p w14:paraId="66E8091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_GB2312" w:hAnsi="方正仿宋_GB2312" w:eastAsia="仿宋_GB2312" w:cs="方正仿宋_GB2312"/>
          <w:color w:val="auto"/>
          <w:spacing w:val="-10"/>
          <w:highlight w:val="none"/>
        </w:rPr>
      </w:pPr>
      <w:r>
        <w:rPr>
          <w:rFonts w:hint="eastAsia" w:ascii="仿宋_GB2312" w:hAnsi="方正仿宋_GB2312" w:eastAsia="仿宋_GB2312" w:cs="方正仿宋_GB2312"/>
          <w:color w:val="auto"/>
          <w:spacing w:val="-10"/>
          <w:highlight w:val="none"/>
        </w:rPr>
        <w:t>新建宾馆饭店获得五星级旅游饭店批文并挂牌的，一次性奖励</w:t>
      </w:r>
      <w:r>
        <w:rPr>
          <w:rFonts w:hint="default" w:ascii="Times New Roman" w:hAnsi="Times New Roman" w:eastAsia="仿宋_GB2312" w:cs="Times New Roman"/>
          <w:color w:val="auto"/>
          <w:spacing w:val="-10"/>
          <w:highlight w:val="none"/>
        </w:rPr>
        <w:t>50</w:t>
      </w:r>
      <w:r>
        <w:rPr>
          <w:rFonts w:hint="eastAsia" w:ascii="仿宋_GB2312" w:hAnsi="方正仿宋_GB2312" w:eastAsia="仿宋_GB2312" w:cs="方正仿宋_GB2312"/>
          <w:color w:val="auto"/>
          <w:spacing w:val="-10"/>
          <w:highlight w:val="none"/>
        </w:rPr>
        <w:t>万元；获得四星级旅游饭店批文并挂牌的，一次性奖励</w:t>
      </w:r>
      <w:r>
        <w:rPr>
          <w:rFonts w:hint="default" w:ascii="Times New Roman" w:hAnsi="Times New Roman" w:eastAsia="仿宋_GB2312" w:cs="Times New Roman"/>
          <w:color w:val="auto"/>
          <w:spacing w:val="-10"/>
          <w:highlight w:val="none"/>
        </w:rPr>
        <w:t>30</w:t>
      </w:r>
      <w:r>
        <w:rPr>
          <w:rFonts w:hint="eastAsia" w:ascii="仿宋_GB2312" w:hAnsi="方正仿宋_GB2312" w:eastAsia="仿宋_GB2312" w:cs="方正仿宋_GB2312"/>
          <w:color w:val="auto"/>
          <w:spacing w:val="-10"/>
          <w:highlight w:val="none"/>
        </w:rPr>
        <w:t>万元。现有四星级旅游饭店经改造、扩建后晋升五星级的，一次性奖励</w:t>
      </w:r>
      <w:r>
        <w:rPr>
          <w:rFonts w:hint="default" w:ascii="Times New Roman" w:hAnsi="Times New Roman" w:eastAsia="仿宋_GB2312" w:cs="Times New Roman"/>
          <w:color w:val="auto"/>
          <w:spacing w:val="-10"/>
          <w:highlight w:val="none"/>
        </w:rPr>
        <w:t>20</w:t>
      </w:r>
      <w:r>
        <w:rPr>
          <w:rFonts w:hint="eastAsia" w:ascii="仿宋_GB2312" w:hAnsi="方正仿宋_GB2312" w:eastAsia="仿宋_GB2312" w:cs="方正仿宋_GB2312"/>
          <w:color w:val="auto"/>
          <w:spacing w:val="-10"/>
          <w:highlight w:val="none"/>
        </w:rPr>
        <w:t>万元。获评国家绿色饭店金树叶级的，一次性奖励</w:t>
      </w:r>
      <w:r>
        <w:rPr>
          <w:rFonts w:hint="default" w:ascii="Times New Roman" w:hAnsi="Times New Roman" w:eastAsia="仿宋_GB2312" w:cs="Times New Roman"/>
          <w:color w:val="auto"/>
          <w:spacing w:val="-10"/>
          <w:highlight w:val="none"/>
        </w:rPr>
        <w:t>20</w:t>
      </w:r>
      <w:r>
        <w:rPr>
          <w:rFonts w:hint="eastAsia" w:ascii="仿宋_GB2312" w:hAnsi="方正仿宋_GB2312" w:eastAsia="仿宋_GB2312" w:cs="方正仿宋_GB2312"/>
          <w:color w:val="auto"/>
          <w:spacing w:val="-10"/>
          <w:highlight w:val="none"/>
        </w:rPr>
        <w:t>万元；获评国家绿色饭店银树叶级的，一次性奖励</w:t>
      </w:r>
      <w:r>
        <w:rPr>
          <w:rFonts w:hint="default" w:ascii="Times New Roman" w:hAnsi="Times New Roman" w:eastAsia="仿宋_GB2312" w:cs="Times New Roman"/>
          <w:color w:val="auto"/>
          <w:spacing w:val="-10"/>
          <w:highlight w:val="none"/>
        </w:rPr>
        <w:t>10</w:t>
      </w:r>
      <w:r>
        <w:rPr>
          <w:rFonts w:hint="eastAsia" w:ascii="仿宋_GB2312" w:hAnsi="方正仿宋_GB2312" w:eastAsia="仿宋_GB2312" w:cs="方正仿宋_GB2312"/>
          <w:color w:val="auto"/>
          <w:spacing w:val="-10"/>
          <w:highlight w:val="none"/>
        </w:rPr>
        <w:t>万元。</w:t>
      </w:r>
    </w:p>
    <w:p w14:paraId="6014C3B7">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19</w:t>
      </w:r>
      <w:r>
        <w:rPr>
          <w:rFonts w:ascii="仿宋_GB2312" w:eastAsia="仿宋_GB2312"/>
          <w:b/>
          <w:color w:val="auto"/>
          <w:spacing w:val="-10"/>
          <w:highlight w:val="none"/>
        </w:rPr>
        <w:t>．鼓励旅行社创星升级</w:t>
      </w:r>
    </w:p>
    <w:p w14:paraId="699042F3">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color w:val="auto"/>
          <w:spacing w:val="-10"/>
          <w:highlight w:val="none"/>
        </w:rPr>
      </w:pPr>
      <w:r>
        <w:rPr>
          <w:rFonts w:hint="eastAsia" w:ascii="仿宋_GB2312" w:eastAsia="仿宋_GB2312"/>
          <w:color w:val="auto"/>
          <w:spacing w:val="-10"/>
          <w:highlight w:val="none"/>
        </w:rPr>
        <w:t>鼓励旅行社加强管理，提高服务质量，旅行社获评省级五星级的，一次性奖励</w:t>
      </w:r>
      <w:r>
        <w:rPr>
          <w:rFonts w:hint="default" w:ascii="Times New Roman" w:hAnsi="Times New Roman" w:eastAsia="仿宋_GB2312" w:cs="Times New Roman"/>
          <w:color w:val="auto"/>
          <w:spacing w:val="-10"/>
          <w:highlight w:val="none"/>
        </w:rPr>
        <w:t>10</w:t>
      </w:r>
      <w:r>
        <w:rPr>
          <w:rFonts w:hint="eastAsia" w:ascii="仿宋_GB2312" w:eastAsia="仿宋_GB2312"/>
          <w:color w:val="auto"/>
          <w:spacing w:val="-10"/>
          <w:highlight w:val="none"/>
        </w:rPr>
        <w:t>万元；获评四星级的，一次性奖励</w:t>
      </w:r>
      <w:r>
        <w:rPr>
          <w:rFonts w:hint="default" w:ascii="Times New Roman" w:hAnsi="Times New Roman" w:eastAsia="仿宋_GB2312" w:cs="Times New Roman"/>
          <w:color w:val="auto"/>
          <w:spacing w:val="-10"/>
          <w:highlight w:val="none"/>
        </w:rPr>
        <w:t>5</w:t>
      </w:r>
      <w:r>
        <w:rPr>
          <w:rFonts w:hint="eastAsia" w:ascii="仿宋_GB2312" w:eastAsia="仿宋_GB2312"/>
          <w:color w:val="auto"/>
          <w:spacing w:val="-10"/>
          <w:highlight w:val="none"/>
        </w:rPr>
        <w:t>万元；获评三星级的，一次性奖励</w:t>
      </w:r>
      <w:r>
        <w:rPr>
          <w:rFonts w:hint="default" w:ascii="Times New Roman" w:hAnsi="Times New Roman" w:eastAsia="仿宋_GB2312" w:cs="Times New Roman"/>
          <w:color w:val="auto"/>
          <w:spacing w:val="-10"/>
          <w:highlight w:val="none"/>
        </w:rPr>
        <w:t>2</w:t>
      </w:r>
      <w:r>
        <w:rPr>
          <w:rFonts w:hint="eastAsia" w:ascii="仿宋_GB2312" w:eastAsia="仿宋_GB2312"/>
          <w:color w:val="auto"/>
          <w:spacing w:val="-10"/>
          <w:highlight w:val="none"/>
        </w:rPr>
        <w:t>万元。现有旅行社晋升星级的，按照晋升级别，补助奖励差额。通过评定性复核的旅行社进行相同奖励。</w:t>
      </w:r>
    </w:p>
    <w:p w14:paraId="7A31F260">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楷体_GB2312" w:eastAsia="楷体_GB2312"/>
          <w:color w:val="auto"/>
          <w:spacing w:val="-10"/>
          <w:highlight w:val="none"/>
        </w:rPr>
      </w:pPr>
      <w:r>
        <w:rPr>
          <w:rFonts w:ascii="楷体_GB2312" w:eastAsia="楷体_GB2312"/>
          <w:color w:val="auto"/>
          <w:spacing w:val="-10"/>
          <w:highlight w:val="none"/>
        </w:rPr>
        <w:t>（七）加强营销推广，打造整体文旅品牌形象</w:t>
      </w:r>
    </w:p>
    <w:p w14:paraId="45D694C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color w:val="auto"/>
          <w:spacing w:val="-10"/>
          <w:highlight w:val="none"/>
        </w:rPr>
      </w:pPr>
      <w:r>
        <w:rPr>
          <w:rFonts w:hint="eastAsia" w:ascii="仿宋_GB2312" w:eastAsia="仿宋_GB2312"/>
          <w:color w:val="auto"/>
          <w:spacing w:val="-10"/>
          <w:highlight w:val="none"/>
        </w:rPr>
        <w:t>加强区级层面品牌宣传推广，鼓励旅行社、会务公司等企业加大对我区输送客源力度，推动旅游目的地打造。</w:t>
      </w:r>
    </w:p>
    <w:p w14:paraId="4F42A29A">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20</w:t>
      </w:r>
      <w:r>
        <w:rPr>
          <w:rFonts w:hint="eastAsia" w:ascii="仿宋_GB2312" w:eastAsia="仿宋_GB2312"/>
          <w:b/>
          <w:color w:val="auto"/>
          <w:spacing w:val="-10"/>
          <w:highlight w:val="none"/>
        </w:rPr>
        <w:t>．旅行社经营奖励</w:t>
      </w:r>
    </w:p>
    <w:p w14:paraId="6A99102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color w:val="auto"/>
          <w:spacing w:val="-10"/>
          <w:highlight w:val="none"/>
        </w:rPr>
      </w:pPr>
      <w:r>
        <w:rPr>
          <w:rFonts w:hint="eastAsia" w:ascii="仿宋_GB2312" w:eastAsia="仿宋_GB2312"/>
          <w:color w:val="auto"/>
          <w:spacing w:val="-10"/>
          <w:highlight w:val="none"/>
        </w:rPr>
        <w:t>为进一步加快吴中区旅行社行业发展，对在我区依法设立、具有独立法人资格的旅行社企业进行奖补，每年从年度营收、行业带动、经济效益、社会效益等方面公布奖补细则，对符合相关条件的旅行社给与予一次性奖补。本项目年度奖补总金额不超过</w:t>
      </w:r>
      <w:r>
        <w:rPr>
          <w:rFonts w:hint="default" w:ascii="Times New Roman" w:hAnsi="Times New Roman" w:eastAsia="仿宋_GB2312" w:cs="Times New Roman"/>
          <w:color w:val="auto"/>
          <w:spacing w:val="-10"/>
          <w:highlight w:val="none"/>
        </w:rPr>
        <w:t>10</w:t>
      </w:r>
      <w:r>
        <w:rPr>
          <w:rFonts w:hint="eastAsia" w:ascii="仿宋_GB2312" w:eastAsia="仿宋_GB2312"/>
          <w:color w:val="auto"/>
          <w:spacing w:val="-10"/>
          <w:highlight w:val="none"/>
        </w:rPr>
        <w:t>万元。</w:t>
      </w:r>
    </w:p>
    <w:p w14:paraId="67F4F0CD">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b/>
          <w:color w:val="auto"/>
          <w:spacing w:val="-10"/>
          <w:highlight w:val="none"/>
        </w:rPr>
      </w:pPr>
      <w:r>
        <w:rPr>
          <w:rFonts w:hint="default" w:ascii="Times New Roman" w:hAnsi="Times New Roman" w:eastAsia="仿宋_GB2312" w:cs="Times New Roman"/>
          <w:b/>
          <w:color w:val="auto"/>
          <w:spacing w:val="-10"/>
          <w:highlight w:val="none"/>
        </w:rPr>
        <w:t>21</w:t>
      </w:r>
      <w:r>
        <w:rPr>
          <w:rFonts w:ascii="仿宋_GB2312" w:eastAsia="仿宋_GB2312"/>
          <w:b/>
          <w:color w:val="auto"/>
          <w:spacing w:val="-10"/>
          <w:highlight w:val="none"/>
        </w:rPr>
        <w:t>．</w:t>
      </w:r>
      <w:r>
        <w:rPr>
          <w:rFonts w:hint="eastAsia" w:ascii="仿宋_GB2312" w:eastAsia="仿宋_GB2312"/>
          <w:b/>
          <w:color w:val="auto"/>
          <w:spacing w:val="-10"/>
          <w:highlight w:val="none"/>
        </w:rPr>
        <w:t>文体旅</w:t>
      </w:r>
      <w:r>
        <w:rPr>
          <w:rFonts w:ascii="仿宋_GB2312" w:eastAsia="仿宋_GB2312"/>
          <w:b/>
          <w:color w:val="auto"/>
          <w:spacing w:val="-10"/>
          <w:highlight w:val="none"/>
        </w:rPr>
        <w:t>会议会展类奖励</w:t>
      </w:r>
    </w:p>
    <w:p w14:paraId="502F0B32">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_GB2312" w:eastAsia="仿宋_GB2312"/>
          <w:color w:val="auto"/>
          <w:spacing w:val="-10"/>
          <w:highlight w:val="none"/>
        </w:rPr>
      </w:pPr>
      <w:r>
        <w:rPr>
          <w:rFonts w:hint="eastAsia" w:ascii="仿宋_GB2312" w:eastAsia="仿宋_GB2312"/>
          <w:color w:val="auto"/>
          <w:spacing w:val="-10"/>
          <w:highlight w:val="none"/>
        </w:rPr>
        <w:t>引进会议会展到吴中的旅行社、会展企业或在吴中区直接举办会议会展的企业和社会团体，单次会议会展活动营业额在</w:t>
      </w:r>
      <w:r>
        <w:rPr>
          <w:rFonts w:hint="default" w:ascii="Times New Roman" w:hAnsi="Times New Roman" w:eastAsia="仿宋_GB2312" w:cs="Times New Roman"/>
          <w:color w:val="auto"/>
          <w:spacing w:val="-10"/>
          <w:highlight w:val="none"/>
        </w:rPr>
        <w:t>6</w:t>
      </w:r>
      <w:r>
        <w:rPr>
          <w:rFonts w:hint="eastAsia" w:ascii="仿宋_GB2312" w:eastAsia="仿宋_GB2312"/>
          <w:color w:val="auto"/>
          <w:spacing w:val="-10"/>
          <w:highlight w:val="none"/>
        </w:rPr>
        <w:t>万元以上、</w:t>
      </w:r>
      <w:r>
        <w:rPr>
          <w:rFonts w:hint="default" w:ascii="Times New Roman" w:hAnsi="Times New Roman" w:eastAsia="仿宋_GB2312" w:cs="Times New Roman"/>
          <w:color w:val="auto"/>
          <w:spacing w:val="-10"/>
          <w:highlight w:val="none"/>
        </w:rPr>
        <w:t>50</w:t>
      </w:r>
      <w:r>
        <w:rPr>
          <w:rFonts w:hint="eastAsia" w:ascii="仿宋_GB2312" w:eastAsia="仿宋_GB2312"/>
          <w:color w:val="auto"/>
          <w:spacing w:val="-10"/>
          <w:highlight w:val="none"/>
        </w:rPr>
        <w:t>万元(含)以下的大型活动，按营业额的</w:t>
      </w:r>
      <w:r>
        <w:rPr>
          <w:rFonts w:hint="default" w:ascii="Times New Roman" w:hAnsi="Times New Roman" w:eastAsia="仿宋_GB2312" w:cs="Times New Roman"/>
          <w:color w:val="auto"/>
          <w:spacing w:val="-10"/>
          <w:highlight w:val="none"/>
        </w:rPr>
        <w:t>6</w:t>
      </w:r>
      <w:r>
        <w:rPr>
          <w:rFonts w:hint="eastAsia" w:ascii="仿宋_GB2312" w:eastAsia="仿宋_GB2312"/>
          <w:color w:val="auto"/>
          <w:spacing w:val="-10"/>
          <w:highlight w:val="none"/>
        </w:rPr>
        <w:t>%进行奖励；单次会议会展活动营业额达到</w:t>
      </w:r>
      <w:r>
        <w:rPr>
          <w:rFonts w:hint="default" w:ascii="Times New Roman" w:hAnsi="Times New Roman" w:eastAsia="仿宋_GB2312" w:cs="Times New Roman"/>
          <w:color w:val="auto"/>
          <w:spacing w:val="-10"/>
          <w:highlight w:val="none"/>
        </w:rPr>
        <w:t>50</w:t>
      </w:r>
      <w:r>
        <w:rPr>
          <w:rFonts w:hint="eastAsia" w:ascii="仿宋_GB2312" w:eastAsia="仿宋_GB2312"/>
          <w:color w:val="auto"/>
          <w:spacing w:val="-10"/>
          <w:highlight w:val="none"/>
        </w:rPr>
        <w:t>万元以上的特大型活动，一次性给予</w:t>
      </w:r>
      <w:r>
        <w:rPr>
          <w:rFonts w:hint="default" w:ascii="Times New Roman" w:hAnsi="Times New Roman" w:eastAsia="仿宋_GB2312" w:cs="Times New Roman"/>
          <w:color w:val="auto"/>
          <w:spacing w:val="-10"/>
          <w:highlight w:val="none"/>
        </w:rPr>
        <w:t>5</w:t>
      </w:r>
      <w:r>
        <w:rPr>
          <w:rFonts w:hint="eastAsia" w:ascii="仿宋_GB2312" w:eastAsia="仿宋_GB2312"/>
          <w:color w:val="auto"/>
          <w:spacing w:val="-10"/>
          <w:highlight w:val="none"/>
        </w:rPr>
        <w:t>万元奖励(营业额主要指会议会展团体在宾馆饭店或会议中心发生的住宿费、餐饮费、会场租金)。本区行政事业单位(含国有企业)出资举办的会议、会展项目不纳入奖励范围。上述营业额以第三方专业审计结果为准。本项年度奖励总金额不超过</w:t>
      </w:r>
      <w:r>
        <w:rPr>
          <w:rFonts w:hint="default" w:ascii="Times New Roman" w:hAnsi="Times New Roman" w:eastAsia="仿宋_GB2312" w:cs="Times New Roman"/>
          <w:color w:val="auto"/>
          <w:spacing w:val="-10"/>
          <w:highlight w:val="none"/>
        </w:rPr>
        <w:t>200</w:t>
      </w:r>
      <w:r>
        <w:rPr>
          <w:rFonts w:hint="eastAsia" w:ascii="仿宋_GB2312" w:eastAsia="仿宋_GB2312"/>
          <w:color w:val="auto"/>
          <w:spacing w:val="-10"/>
          <w:highlight w:val="none"/>
        </w:rPr>
        <w:t>万元。</w:t>
      </w:r>
    </w:p>
    <w:p w14:paraId="0F5CBBB9">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楷体_GB2312" w:eastAsia="楷体_GB2312"/>
          <w:color w:val="auto"/>
          <w:spacing w:val="-10"/>
          <w:highlight w:val="none"/>
        </w:rPr>
      </w:pPr>
      <w:r>
        <w:rPr>
          <w:rFonts w:ascii="楷体_GB2312" w:eastAsia="楷体_GB2312"/>
          <w:color w:val="auto"/>
          <w:spacing w:val="-10"/>
          <w:highlight w:val="none"/>
        </w:rPr>
        <w:t>（八）全区其他重点文体旅工作</w:t>
      </w:r>
    </w:p>
    <w:p w14:paraId="12D45870">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color w:val="auto"/>
          <w:spacing w:val="-10"/>
          <w:highlight w:val="none"/>
        </w:rPr>
      </w:pPr>
      <w:r>
        <w:rPr>
          <w:rFonts w:hint="default" w:ascii="Times New Roman" w:hAnsi="Times New Roman" w:eastAsia="仿宋" w:cs="Times New Roman"/>
          <w:b/>
          <w:color w:val="auto"/>
          <w:spacing w:val="-10"/>
          <w:highlight w:val="none"/>
        </w:rPr>
        <w:t>22</w:t>
      </w:r>
      <w:r>
        <w:rPr>
          <w:rFonts w:eastAsia="仿宋"/>
          <w:b/>
          <w:color w:val="auto"/>
          <w:spacing w:val="-10"/>
          <w:highlight w:val="none"/>
        </w:rPr>
        <w:t>．</w:t>
      </w:r>
      <w:r>
        <w:rPr>
          <w:rFonts w:hint="eastAsia" w:ascii="仿宋_GB2312" w:eastAsia="仿宋_GB2312"/>
          <w:color w:val="auto"/>
          <w:spacing w:val="-10"/>
          <w:highlight w:val="none"/>
        </w:rPr>
        <w:t>为落实我区文体旅品牌建设、宣传推介、人才队伍培养、安全保障等相关工作和活动，由区文化体育和旅游局按当年实际工作开展情况进行经费申请和使用，总金额不超过</w:t>
      </w:r>
      <w:r>
        <w:rPr>
          <w:rFonts w:hint="default" w:ascii="Times New Roman" w:hAnsi="Times New Roman" w:eastAsia="仿宋_GB2312" w:cs="Times New Roman"/>
          <w:color w:val="auto"/>
          <w:spacing w:val="-10"/>
          <w:highlight w:val="none"/>
        </w:rPr>
        <w:t>400</w:t>
      </w:r>
      <w:r>
        <w:rPr>
          <w:rFonts w:hint="eastAsia" w:ascii="仿宋_GB2312" w:eastAsia="仿宋_GB2312"/>
          <w:color w:val="auto"/>
          <w:spacing w:val="-10"/>
          <w:highlight w:val="none"/>
        </w:rPr>
        <w:t>万元。包括但不限于线上线下多渠道的广告、视频和专题投放，“吴中太湖文旅”两微一站、小红书、抖音等新媒体矩阵的优化提升，参与省运博会、各级文旅推介活动，文创产品的设计制作，宣传手册、月历指南、吴中文旅地图的设计制作、主题文旅线路的推广，以及区内旅游企业讲解员队伍培养、文体旅行业安全保障等内容，旨在进一步深化全区文体旅产业谋篇布局，推进吴中文体旅品质、形象和知名度的全面提升。</w:t>
      </w:r>
    </w:p>
    <w:p w14:paraId="6B1F1E80">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eastAsia="黑体"/>
          <w:bCs/>
          <w:color w:val="auto"/>
          <w:spacing w:val="-10"/>
          <w:highlight w:val="none"/>
        </w:rPr>
      </w:pPr>
      <w:r>
        <w:rPr>
          <w:rFonts w:hint="eastAsia" w:eastAsia="黑体"/>
          <w:bCs/>
          <w:color w:val="auto"/>
          <w:spacing w:val="-10"/>
          <w:highlight w:val="none"/>
          <w:lang w:eastAsia="zh-CN"/>
        </w:rPr>
        <w:t>三</w:t>
      </w:r>
      <w:r>
        <w:rPr>
          <w:rFonts w:eastAsia="黑体"/>
          <w:bCs/>
          <w:color w:val="auto"/>
          <w:spacing w:val="-10"/>
          <w:highlight w:val="none"/>
        </w:rPr>
        <w:t>、附则</w:t>
      </w:r>
    </w:p>
    <w:p w14:paraId="3F2153A1">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color w:val="auto"/>
          <w:spacing w:val="-10"/>
          <w:highlight w:val="none"/>
        </w:rPr>
      </w:pPr>
      <w:r>
        <w:rPr>
          <w:rFonts w:hint="default" w:ascii="Times New Roman" w:hAnsi="Times New Roman" w:eastAsia="仿宋" w:cs="Times New Roman"/>
          <w:b/>
          <w:color w:val="auto"/>
          <w:spacing w:val="-10"/>
          <w:highlight w:val="none"/>
        </w:rPr>
        <w:t>23</w:t>
      </w:r>
      <w:r>
        <w:rPr>
          <w:rFonts w:hint="eastAsia" w:eastAsia="仿宋"/>
          <w:b/>
          <w:color w:val="auto"/>
          <w:spacing w:val="-10"/>
          <w:highlight w:val="none"/>
        </w:rPr>
        <w:t>．</w:t>
      </w:r>
      <w:r>
        <w:rPr>
          <w:rFonts w:hint="eastAsia" w:ascii="仿宋_GB2312" w:eastAsia="仿宋_GB2312"/>
          <w:color w:val="auto"/>
          <w:spacing w:val="-10"/>
          <w:highlight w:val="none"/>
        </w:rPr>
        <w:t>对于已经依据区政府的其他政策措施获得过资金奖励的项目，不再重复给予资金奖励。符合本意见多条规定的同一项目、同一事项，按“就高不重复”原则予以支持，相关政策若遇上级政策调整，则按上级要求执行。本政策与我区此前出台的其他政策有重复、交叉的，按照“从优、从高”的原则执行。</w:t>
      </w:r>
    </w:p>
    <w:p w14:paraId="34849C75">
      <w:pPr>
        <w:keepNext w:val="0"/>
        <w:keepLines w:val="0"/>
        <w:pageBreakBefore w:val="0"/>
        <w:widowControl w:val="0"/>
        <w:kinsoku/>
        <w:wordWrap/>
        <w:overflowPunct/>
        <w:topLinePunct w:val="0"/>
        <w:autoSpaceDE/>
        <w:autoSpaceDN/>
        <w:bidi w:val="0"/>
        <w:adjustRightInd/>
        <w:snapToGrid/>
        <w:spacing w:line="560" w:lineRule="exact"/>
        <w:ind w:firstLine="603" w:firstLineChars="200"/>
        <w:jc w:val="left"/>
        <w:textAlignment w:val="auto"/>
        <w:rPr>
          <w:rFonts w:ascii="仿宋_GB2312" w:eastAsia="仿宋_GB2312"/>
          <w:color w:val="auto"/>
          <w:spacing w:val="-10"/>
          <w:highlight w:val="none"/>
        </w:rPr>
      </w:pPr>
      <w:r>
        <w:rPr>
          <w:rFonts w:hint="default" w:ascii="Times New Roman" w:hAnsi="Times New Roman" w:eastAsia="仿宋" w:cs="Times New Roman"/>
          <w:b/>
          <w:color w:val="auto"/>
          <w:spacing w:val="-10"/>
          <w:highlight w:val="none"/>
        </w:rPr>
        <w:t>24</w:t>
      </w:r>
      <w:r>
        <w:rPr>
          <w:rFonts w:hint="eastAsia" w:eastAsia="仿宋"/>
          <w:b/>
          <w:color w:val="auto"/>
          <w:spacing w:val="-10"/>
          <w:highlight w:val="none"/>
        </w:rPr>
        <w:t>．</w:t>
      </w:r>
      <w:r>
        <w:rPr>
          <w:rFonts w:hint="eastAsia" w:ascii="仿宋_GB2312" w:eastAsia="仿宋_GB2312"/>
          <w:color w:val="auto"/>
          <w:spacing w:val="-10"/>
          <w:highlight w:val="none"/>
        </w:rPr>
        <w:t>区政府每年从区文化体育旅游发展专项资金中安排资金用于本政策，具体实施细则由区文化体育和旅游局与财政局另行制定。本政策由区政府负责解释，区文体旅局、区财政局承担具体的解释工作，自</w:t>
      </w:r>
      <w:r>
        <w:rPr>
          <w:rFonts w:hint="default" w:ascii="Times New Roman" w:hAnsi="Times New Roman" w:eastAsia="仿宋_GB2312" w:cs="Times New Roman"/>
          <w:color w:val="auto"/>
          <w:spacing w:val="-10"/>
          <w:highlight w:val="none"/>
        </w:rPr>
        <w:t>2025</w:t>
      </w:r>
      <w:r>
        <w:rPr>
          <w:rFonts w:hint="eastAsia" w:ascii="仿宋_GB2312" w:eastAsia="仿宋_GB2312"/>
          <w:color w:val="auto"/>
          <w:spacing w:val="-10"/>
          <w:highlight w:val="none"/>
        </w:rPr>
        <w:t>年</w:t>
      </w:r>
      <w:r>
        <w:rPr>
          <w:rFonts w:hint="default" w:ascii="Times New Roman" w:hAnsi="Times New Roman" w:eastAsia="仿宋_GB2312" w:cs="Times New Roman"/>
          <w:color w:val="auto"/>
          <w:spacing w:val="-10"/>
          <w:highlight w:val="none"/>
        </w:rPr>
        <w:t>1</w:t>
      </w:r>
      <w:r>
        <w:rPr>
          <w:rFonts w:hint="eastAsia" w:ascii="仿宋_GB2312" w:eastAsia="仿宋_GB2312"/>
          <w:color w:val="auto"/>
          <w:spacing w:val="-10"/>
          <w:highlight w:val="none"/>
        </w:rPr>
        <w:t>月</w:t>
      </w:r>
      <w:bookmarkStart w:id="0" w:name="_GoBack"/>
      <w:r>
        <w:rPr>
          <w:rFonts w:hint="default" w:ascii="Times New Roman" w:hAnsi="Times New Roman" w:eastAsia="仿宋_GB2312" w:cs="Times New Roman"/>
          <w:color w:val="auto"/>
          <w:spacing w:val="-10"/>
          <w:highlight w:val="none"/>
        </w:rPr>
        <w:t>1</w:t>
      </w:r>
      <w:bookmarkEnd w:id="0"/>
      <w:r>
        <w:rPr>
          <w:rFonts w:hint="eastAsia" w:ascii="仿宋_GB2312" w:eastAsia="仿宋_GB2312"/>
          <w:color w:val="auto"/>
          <w:spacing w:val="-10"/>
          <w:highlight w:val="none"/>
        </w:rPr>
        <w:t>日起施行。</w:t>
      </w:r>
    </w:p>
    <w:p w14:paraId="48B56F0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color w:val="auto"/>
          <w:highlight w:val="none"/>
        </w:rPr>
      </w:pPr>
    </w:p>
    <w:sectPr>
      <w:footerReference r:id="rId3" w:type="default"/>
      <w:pgSz w:w="11907" w:h="16840"/>
      <w:pgMar w:top="1984" w:right="1701" w:bottom="1701" w:left="1701" w:header="851" w:footer="1247" w:gutter="0"/>
      <w:cols w:space="0" w:num="1"/>
      <w:docGrid w:type="lines" w:linePitch="56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2945B3A-A64E-406F-B736-EF12B5A1DD9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2" w:fontKey="{30590148-F5E9-421E-8979-D409680B176C}"/>
  </w:font>
  <w:font w:name="仿宋_GB2312">
    <w:panose1 w:val="02010609030101010101"/>
    <w:charset w:val="86"/>
    <w:family w:val="modern"/>
    <w:pitch w:val="default"/>
    <w:sig w:usb0="00000001" w:usb1="080E0000" w:usb2="00000000" w:usb3="00000000" w:csb0="00040000" w:csb1="00000000"/>
    <w:embedRegular r:id="rId3" w:fontKey="{5C1C2FD8-2FCC-4801-A0B0-85873942FC52}"/>
  </w:font>
  <w:font w:name="方正仿宋_GB2312">
    <w:panose1 w:val="02000000000000000000"/>
    <w:charset w:val="86"/>
    <w:family w:val="auto"/>
    <w:pitch w:val="default"/>
    <w:sig w:usb0="A00002BF" w:usb1="184F6CFA" w:usb2="00000012" w:usb3="00000000" w:csb0="00040001" w:csb1="00000000"/>
    <w:embedRegular r:id="rId4" w:fontKey="{2960A5E9-9494-4D26-A270-363A8AC3E4A5}"/>
  </w:font>
  <w:font w:name="仿宋">
    <w:panose1 w:val="02010609060101010101"/>
    <w:charset w:val="86"/>
    <w:family w:val="modern"/>
    <w:pitch w:val="default"/>
    <w:sig w:usb0="800002BF" w:usb1="38CF7CFA" w:usb2="00000016" w:usb3="00000000" w:csb0="00040001" w:csb1="00000000"/>
    <w:embedRegular r:id="rId5" w:fontKey="{426FDF71-35A1-47CB-ABDB-FFEDAA9972E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Theme="minorEastAsia" w:hAnsiTheme="minorEastAsia" w:eastAsiaTheme="minorEastAsia" w:cstheme="minorEastAsia"/>
        <w:sz w:val="28"/>
        <w:szCs w:val="28"/>
      </w:rPr>
      <w:id w:val="896168264"/>
      <w:docPartObj>
        <w:docPartGallery w:val="autotext"/>
      </w:docPartObj>
    </w:sdtPr>
    <w:sdtEndPr>
      <w:rPr>
        <w:rFonts w:hint="eastAsia" w:asciiTheme="minorEastAsia" w:hAnsiTheme="minorEastAsia" w:eastAsiaTheme="minorEastAsia" w:cstheme="minorEastAsia"/>
        <w:sz w:val="28"/>
        <w:szCs w:val="28"/>
      </w:rPr>
    </w:sdtEndPr>
    <w:sdtContent>
      <w:p w14:paraId="6D0D4BD1">
        <w:pPr>
          <w:pStyle w:val="2"/>
          <w:jc w:val="cente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10</w:t>
        </w:r>
        <w:r>
          <w:rPr>
            <w:rFonts w:hint="eastAsia" w:asciiTheme="minorEastAsia" w:hAnsiTheme="minorEastAsia" w:eastAsiaTheme="minorEastAsia" w:cstheme="minorEastAsia"/>
            <w:sz w:val="28"/>
            <w:szCs w:val="28"/>
          </w:rPr>
          <w:fldChar w:fldCharType="end"/>
        </w:r>
      </w:p>
    </w:sdtContent>
  </w:sdt>
  <w:p w14:paraId="1D9D7B32">
    <w:pPr>
      <w:pStyle w:val="2"/>
      <w:ind w:right="360" w:firstLine="360"/>
      <w:rPr>
        <w:szCs w:val="3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gzYjQyZTc2YTEwOWMxNmU5OThjN2MxMjk1ZWViNWQifQ=="/>
  </w:docVars>
  <w:rsids>
    <w:rsidRoot w:val="4F155B1D"/>
    <w:rsid w:val="00026697"/>
    <w:rsid w:val="000533CD"/>
    <w:rsid w:val="00083780"/>
    <w:rsid w:val="000A2467"/>
    <w:rsid w:val="000C4C0E"/>
    <w:rsid w:val="000D4C5E"/>
    <w:rsid w:val="00113A43"/>
    <w:rsid w:val="00151184"/>
    <w:rsid w:val="001A157D"/>
    <w:rsid w:val="001F0203"/>
    <w:rsid w:val="00231922"/>
    <w:rsid w:val="00256692"/>
    <w:rsid w:val="003E6413"/>
    <w:rsid w:val="003F5902"/>
    <w:rsid w:val="004D2A4F"/>
    <w:rsid w:val="004E6DA1"/>
    <w:rsid w:val="00544762"/>
    <w:rsid w:val="00546DDA"/>
    <w:rsid w:val="005679FB"/>
    <w:rsid w:val="005E1106"/>
    <w:rsid w:val="005F7488"/>
    <w:rsid w:val="006E1903"/>
    <w:rsid w:val="006F170A"/>
    <w:rsid w:val="00753BA0"/>
    <w:rsid w:val="00821011"/>
    <w:rsid w:val="00865776"/>
    <w:rsid w:val="009434B9"/>
    <w:rsid w:val="009A0BC3"/>
    <w:rsid w:val="009B7DAE"/>
    <w:rsid w:val="009D10B5"/>
    <w:rsid w:val="009E13C0"/>
    <w:rsid w:val="00A21258"/>
    <w:rsid w:val="00A338B2"/>
    <w:rsid w:val="00A53D7D"/>
    <w:rsid w:val="00AE3F5E"/>
    <w:rsid w:val="00AF7E43"/>
    <w:rsid w:val="00B37D76"/>
    <w:rsid w:val="00B9342A"/>
    <w:rsid w:val="00BD4A1D"/>
    <w:rsid w:val="00BE14BD"/>
    <w:rsid w:val="00BE4371"/>
    <w:rsid w:val="00BE510C"/>
    <w:rsid w:val="00BF7EED"/>
    <w:rsid w:val="00C35259"/>
    <w:rsid w:val="00C41D87"/>
    <w:rsid w:val="00C46428"/>
    <w:rsid w:val="00C570EE"/>
    <w:rsid w:val="00CB6A63"/>
    <w:rsid w:val="00CC25D3"/>
    <w:rsid w:val="00D47CD0"/>
    <w:rsid w:val="00D92D43"/>
    <w:rsid w:val="00EA5C92"/>
    <w:rsid w:val="00EF203B"/>
    <w:rsid w:val="00F10670"/>
    <w:rsid w:val="00F9257D"/>
    <w:rsid w:val="00FD47B9"/>
    <w:rsid w:val="02C929A1"/>
    <w:rsid w:val="03AC272A"/>
    <w:rsid w:val="03E32769"/>
    <w:rsid w:val="0B01711D"/>
    <w:rsid w:val="0B9965AB"/>
    <w:rsid w:val="0CAF77E7"/>
    <w:rsid w:val="0E481F71"/>
    <w:rsid w:val="14D54F79"/>
    <w:rsid w:val="17EE2E8B"/>
    <w:rsid w:val="19E641DE"/>
    <w:rsid w:val="1A9D1641"/>
    <w:rsid w:val="1CEE522E"/>
    <w:rsid w:val="229722CE"/>
    <w:rsid w:val="26DF0531"/>
    <w:rsid w:val="27D5030B"/>
    <w:rsid w:val="287734A7"/>
    <w:rsid w:val="2AC21B44"/>
    <w:rsid w:val="2AD511DA"/>
    <w:rsid w:val="302D2B6D"/>
    <w:rsid w:val="343040FF"/>
    <w:rsid w:val="34377663"/>
    <w:rsid w:val="344C69A9"/>
    <w:rsid w:val="377F28E3"/>
    <w:rsid w:val="38996883"/>
    <w:rsid w:val="3C2B24F4"/>
    <w:rsid w:val="3DAD0328"/>
    <w:rsid w:val="3E3B4679"/>
    <w:rsid w:val="4027128D"/>
    <w:rsid w:val="41CE56FB"/>
    <w:rsid w:val="45EF7078"/>
    <w:rsid w:val="492C01AA"/>
    <w:rsid w:val="4B6053AA"/>
    <w:rsid w:val="4B9E56A6"/>
    <w:rsid w:val="4D574259"/>
    <w:rsid w:val="4F155B1D"/>
    <w:rsid w:val="50F419E6"/>
    <w:rsid w:val="55610314"/>
    <w:rsid w:val="59803A31"/>
    <w:rsid w:val="59935096"/>
    <w:rsid w:val="63F42139"/>
    <w:rsid w:val="68DE3A81"/>
    <w:rsid w:val="6A472BE9"/>
    <w:rsid w:val="6DC70596"/>
    <w:rsid w:val="70B948E1"/>
    <w:rsid w:val="760F05D5"/>
    <w:rsid w:val="76F36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方正仿宋_GBK"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autoRedefine/>
    <w:qFormat/>
    <w:uiPriority w:val="99"/>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qFormat/>
    <w:uiPriority w:val="99"/>
    <w:pPr>
      <w:widowControl/>
      <w:spacing w:before="100" w:beforeAutospacing="1" w:after="100" w:afterAutospacing="1" w:line="270" w:lineRule="atLeast"/>
      <w:jc w:val="left"/>
    </w:pPr>
    <w:rPr>
      <w:rFonts w:ascii="宋体" w:hAnsi="宋体" w:eastAsia="宋体"/>
      <w:kern w:val="0"/>
      <w:sz w:val="18"/>
      <w:szCs w:val="18"/>
    </w:rPr>
  </w:style>
  <w:style w:type="character" w:styleId="7">
    <w:name w:val="page number"/>
    <w:basedOn w:val="6"/>
    <w:autoRedefine/>
    <w:qFormat/>
    <w:uiPriority w:val="0"/>
  </w:style>
  <w:style w:type="character" w:customStyle="1" w:styleId="8">
    <w:name w:val="页脚 Char"/>
    <w:basedOn w:val="6"/>
    <w:link w:val="2"/>
    <w:qFormat/>
    <w:uiPriority w:val="99"/>
    <w:rPr>
      <w:rFonts w:eastAsia="方正仿宋_GBK"/>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4721</Words>
  <Characters>4892</Characters>
  <Lines>34</Lines>
  <Paragraphs>9</Paragraphs>
  <TotalTime>35</TotalTime>
  <ScaleCrop>false</ScaleCrop>
  <LinksUpToDate>false</LinksUpToDate>
  <CharactersWithSpaces>4900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2025-02-10T08:05:00Z</dcterms:created>
  <dc:creator>李江宇</dc:creator>
  <cp:lastModifiedBy>丁熙</cp:lastModifiedBy>
  <cp:lastPrinted>2025-02-10T07:15:00Z</cp:lastPrinted>
  <dcterms:modified xsi:type="dcterms:W3CDTF">2025-02-14T06:44:25Z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6FD220AEE0BA459F8F73B9F934C109E5_11</vt:lpwstr>
  </property>
  <property fmtid="{D5CDD505-2E9C-101B-9397-08002B2CF9AE}" pid="4" name="KSOTemplateDocerSaveRecord">
    <vt:lpwstr>eyJoZGlkIjoiMjUxMmI1Mzk4MGI1NGVkZDlhZTVlNzNkYmJjZjE1M2QiLCJ1c2VySWQiOiI0ODg1MDg3NTUifQ==</vt:lpwstr>
  </property>
</Properties>
</file>