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27CBCC">
      <w:pPr>
        <w:spacing w:line="560" w:lineRule="exact"/>
        <w:jc w:val="center"/>
        <w:rPr>
          <w:rFonts w:ascii="Times New Roman" w:hAnsi="Times New Roman" w:eastAsia="方正小标宋简体"/>
          <w:spacing w:val="-10"/>
          <w:sz w:val="44"/>
          <w:szCs w:val="44"/>
        </w:rPr>
      </w:pPr>
      <w:r>
        <w:rPr>
          <w:rFonts w:hint="eastAsia" w:ascii="Times New Roman" w:hAnsi="Times New Roman" w:eastAsia="方正小标宋简体"/>
          <w:spacing w:val="-10"/>
          <w:sz w:val="44"/>
          <w:szCs w:val="44"/>
        </w:rPr>
        <w:t>吴中区商务局</w:t>
      </w:r>
      <w:r>
        <w:rPr>
          <w:rFonts w:ascii="Times New Roman" w:hAnsi="Times New Roman" w:eastAsia="方正小标宋简体"/>
          <w:spacing w:val="-10"/>
          <w:sz w:val="44"/>
          <w:szCs w:val="44"/>
        </w:rPr>
        <w:t>2024</w:t>
      </w:r>
      <w:r>
        <w:rPr>
          <w:rFonts w:hint="eastAsia" w:ascii="Times New Roman" w:hAnsi="Times New Roman" w:eastAsia="方正小标宋简体"/>
          <w:spacing w:val="-10"/>
          <w:sz w:val="44"/>
          <w:szCs w:val="44"/>
        </w:rPr>
        <w:t>年度</w:t>
      </w:r>
      <w:r>
        <w:rPr>
          <w:rFonts w:ascii="Times New Roman" w:hAnsi="Times New Roman" w:eastAsia="方正小标宋简体"/>
          <w:spacing w:val="-10"/>
          <w:sz w:val="44"/>
          <w:szCs w:val="44"/>
        </w:rPr>
        <w:t>法治政府建设</w:t>
      </w:r>
      <w:bookmarkStart w:id="0" w:name="_GoBack"/>
      <w:bookmarkEnd w:id="0"/>
    </w:p>
    <w:p w14:paraId="320F11B6">
      <w:pPr>
        <w:spacing w:line="560" w:lineRule="exact"/>
        <w:jc w:val="center"/>
        <w:rPr>
          <w:rFonts w:ascii="Times New Roman" w:hAnsi="Times New Roman" w:eastAsia="方正小标宋简体"/>
          <w:spacing w:val="-10"/>
          <w:sz w:val="44"/>
          <w:szCs w:val="44"/>
        </w:rPr>
      </w:pPr>
      <w:r>
        <w:rPr>
          <w:rFonts w:hint="eastAsia" w:ascii="Times New Roman" w:hAnsi="Times New Roman" w:eastAsia="方正小标宋简体"/>
          <w:spacing w:val="-10"/>
          <w:sz w:val="44"/>
          <w:szCs w:val="44"/>
        </w:rPr>
        <w:t>情况</w:t>
      </w:r>
      <w:r>
        <w:rPr>
          <w:rFonts w:ascii="Times New Roman" w:hAnsi="Times New Roman" w:eastAsia="方正小标宋简体"/>
          <w:spacing w:val="-10"/>
          <w:sz w:val="44"/>
          <w:szCs w:val="44"/>
        </w:rPr>
        <w:t>报告</w:t>
      </w:r>
    </w:p>
    <w:p w14:paraId="6FFAEED0">
      <w:pPr>
        <w:spacing w:line="560" w:lineRule="exact"/>
        <w:ind w:firstLine="600" w:firstLineChars="200"/>
        <w:rPr>
          <w:rFonts w:ascii="Times New Roman" w:hAnsi="Times New Roman" w:eastAsia="仿宋_GB2312"/>
          <w:spacing w:val="-10"/>
          <w:sz w:val="32"/>
          <w:szCs w:val="32"/>
        </w:rPr>
      </w:pPr>
    </w:p>
    <w:p w14:paraId="7B0A486F">
      <w:pPr>
        <w:spacing w:line="560" w:lineRule="exact"/>
        <w:ind w:firstLine="600" w:firstLineChars="200"/>
        <w:rPr>
          <w:rFonts w:ascii="Times New Roman" w:hAnsi="Times New Roman" w:eastAsia="仿宋_GB2312"/>
          <w:spacing w:val="-10"/>
          <w:sz w:val="32"/>
          <w:szCs w:val="32"/>
        </w:rPr>
      </w:pPr>
      <w:r>
        <w:rPr>
          <w:rFonts w:ascii="Times New Roman" w:hAnsi="Times New Roman" w:eastAsia="仿宋_GB2312"/>
          <w:spacing w:val="-10"/>
          <w:sz w:val="32"/>
          <w:szCs w:val="32"/>
        </w:rPr>
        <w:t>2024年，吴中区商务局不断深入学习贯彻习近平法治思想，贯彻落实习近平总书记关于法治建设的重要指示精神，认真落实全区法治政府建设工作总体要求，持续推动提升商务领域工作法治化建设水平。现将全年法治政府建设工作情况报告如下：</w:t>
      </w:r>
    </w:p>
    <w:p w14:paraId="2024A443">
      <w:pPr>
        <w:spacing w:line="560" w:lineRule="exact"/>
        <w:ind w:firstLine="600" w:firstLineChars="200"/>
        <w:rPr>
          <w:rFonts w:ascii="Times New Roman" w:hAnsi="Times New Roman" w:eastAsia="黑体"/>
          <w:spacing w:val="-10"/>
          <w:sz w:val="32"/>
          <w:szCs w:val="32"/>
        </w:rPr>
      </w:pPr>
      <w:r>
        <w:rPr>
          <w:rFonts w:ascii="Times New Roman" w:hAnsi="Times New Roman" w:eastAsia="黑体"/>
          <w:spacing w:val="-10"/>
          <w:sz w:val="32"/>
          <w:szCs w:val="32"/>
        </w:rPr>
        <w:t>一、</w:t>
      </w:r>
      <w:r>
        <w:rPr>
          <w:rFonts w:hint="eastAsia" w:ascii="Times New Roman" w:hAnsi="Times New Roman" w:eastAsia="黑体"/>
          <w:spacing w:val="-10"/>
          <w:sz w:val="32"/>
          <w:szCs w:val="32"/>
        </w:rPr>
        <w:t>推进法治政府建设</w:t>
      </w:r>
      <w:r>
        <w:rPr>
          <w:rFonts w:ascii="Times New Roman" w:hAnsi="Times New Roman" w:eastAsia="黑体"/>
          <w:spacing w:val="-10"/>
          <w:sz w:val="32"/>
          <w:szCs w:val="32"/>
        </w:rPr>
        <w:t>工作开展情况</w:t>
      </w:r>
    </w:p>
    <w:p w14:paraId="3439A6A0">
      <w:pPr>
        <w:snapToGrid w:val="0"/>
        <w:spacing w:line="560" w:lineRule="exact"/>
        <w:ind w:firstLine="600" w:firstLineChars="200"/>
        <w:rPr>
          <w:rFonts w:ascii="仿宋_GB2312" w:hAnsi="Times New Roman" w:eastAsia="仿宋_GB2312"/>
          <w:spacing w:val="-10"/>
          <w:sz w:val="32"/>
          <w:szCs w:val="32"/>
        </w:rPr>
      </w:pPr>
      <w:r>
        <w:rPr>
          <w:rFonts w:hint="eastAsia" w:ascii="Times New Roman" w:hAnsi="Times New Roman" w:eastAsia="楷体_GB2312"/>
          <w:spacing w:val="-10"/>
          <w:sz w:val="32"/>
          <w:szCs w:val="32"/>
        </w:rPr>
        <w:t>（一）推动贯彻落实，提升涉外法治建设能力。</w:t>
      </w:r>
      <w:r>
        <w:rPr>
          <w:rFonts w:hint="eastAsia" w:ascii="仿宋_GB2312" w:hAnsi="Times New Roman" w:eastAsia="仿宋_GB2312"/>
          <w:spacing w:val="-10"/>
          <w:sz w:val="32"/>
          <w:szCs w:val="32"/>
        </w:rPr>
        <w:t>贯彻落实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《中华人民共和国外商投资法》</w:t>
      </w:r>
      <w:r>
        <w:rPr>
          <w:rFonts w:hint="eastAsia" w:ascii="仿宋_GB2312" w:hAnsi="Times New Roman" w:eastAsia="仿宋_GB2312"/>
          <w:spacing w:val="-10"/>
          <w:sz w:val="32"/>
          <w:szCs w:val="32"/>
        </w:rPr>
        <w:t>、《江苏省促进和保护外商投资条例》等法律规章制度，确保区内外商投资企业享受平等待遇。做好太湖经贸合作洽谈会、企业家太湖论坛等国际经贸活动融合对接，保护外国投资者在吴中区合法权益。召开外资外贸政策系列宣讲会，搭建涉外交流平台，推动人才与实务交流，深化涉外法治领域交流互鉴。</w:t>
      </w:r>
    </w:p>
    <w:p w14:paraId="098AB8C7">
      <w:pPr>
        <w:snapToGrid w:val="0"/>
        <w:spacing w:line="560" w:lineRule="exact"/>
        <w:ind w:firstLine="600" w:firstLineChars="200"/>
        <w:rPr>
          <w:rFonts w:ascii="Times New Roman" w:hAnsi="Times New Roman" w:eastAsia="仿宋_GB2312"/>
          <w:spacing w:val="-10"/>
          <w:sz w:val="32"/>
          <w:szCs w:val="32"/>
        </w:rPr>
      </w:pPr>
      <w:r>
        <w:rPr>
          <w:rFonts w:hint="eastAsia" w:ascii="Times New Roman" w:hAnsi="Times New Roman" w:eastAsia="楷体_GB2312"/>
          <w:spacing w:val="-10"/>
          <w:sz w:val="32"/>
          <w:szCs w:val="32"/>
        </w:rPr>
        <w:t>（二）</w:t>
      </w:r>
      <w:r>
        <w:rPr>
          <w:rFonts w:ascii="Times New Roman" w:hAnsi="Times New Roman" w:eastAsia="楷体_GB2312"/>
          <w:spacing w:val="-10"/>
          <w:sz w:val="32"/>
          <w:szCs w:val="32"/>
        </w:rPr>
        <w:t>提升服务效能，优化法治化营商环境。</w:t>
      </w:r>
      <w:r>
        <w:rPr>
          <w:rFonts w:ascii="Times New Roman" w:hAnsi="Times New Roman" w:eastAsia="仿宋_GB2312"/>
          <w:spacing w:val="-10"/>
          <w:sz w:val="32"/>
          <w:szCs w:val="32"/>
        </w:rPr>
        <w:t>加强“法治商务”建设，充分发挥法律顾问作用，做好合同审查、法律知识科普等工作，确保所有行政行为都在法律框架内进行；在处理商务投诉、维护市场秩序时，严格遵循宪法和法律规定，确保行使职权的合法性和正当性；在招商引资、内外贸易、市场流通等商务领域制定和执行规章制度时，严格遵循法定程序，确保各项工作有法可依、有章可循，优化法治化营商环境。</w:t>
      </w:r>
    </w:p>
    <w:p w14:paraId="29DF60B1">
      <w:pPr>
        <w:spacing w:line="560" w:lineRule="exact"/>
        <w:ind w:firstLine="600" w:firstLineChars="200"/>
        <w:rPr>
          <w:rFonts w:ascii="Times New Roman" w:hAnsi="Times New Roman" w:eastAsia="仿宋_GB2312"/>
          <w:spacing w:val="-10"/>
          <w:sz w:val="32"/>
          <w:szCs w:val="32"/>
        </w:rPr>
      </w:pPr>
      <w:r>
        <w:rPr>
          <w:rFonts w:hint="eastAsia" w:ascii="Times New Roman" w:hAnsi="Times New Roman" w:eastAsia="楷体_GB2312"/>
          <w:spacing w:val="-10"/>
          <w:sz w:val="32"/>
          <w:szCs w:val="32"/>
        </w:rPr>
        <w:t>（三）</w:t>
      </w:r>
      <w:r>
        <w:rPr>
          <w:rFonts w:ascii="Times New Roman" w:hAnsi="Times New Roman" w:eastAsia="楷体_GB2312"/>
          <w:spacing w:val="-10"/>
          <w:sz w:val="32"/>
          <w:szCs w:val="32"/>
        </w:rPr>
        <w:t>推进依法行政</w:t>
      </w:r>
      <w:r>
        <w:rPr>
          <w:rFonts w:hint="eastAsia" w:ascii="Times New Roman" w:hAnsi="Times New Roman" w:eastAsia="楷体_GB2312"/>
          <w:spacing w:val="-10"/>
          <w:sz w:val="32"/>
          <w:szCs w:val="32"/>
        </w:rPr>
        <w:t>，规范</w:t>
      </w:r>
      <w:r>
        <w:rPr>
          <w:rFonts w:ascii="Times New Roman" w:hAnsi="Times New Roman" w:eastAsia="楷体_GB2312"/>
          <w:spacing w:val="-10"/>
          <w:sz w:val="32"/>
          <w:szCs w:val="32"/>
        </w:rPr>
        <w:t>科学民主决策。</w:t>
      </w:r>
      <w:r>
        <w:rPr>
          <w:rFonts w:ascii="Times New Roman" w:hAnsi="Times New Roman" w:eastAsia="仿宋_GB2312"/>
          <w:spacing w:val="-10"/>
          <w:sz w:val="32"/>
          <w:szCs w:val="32"/>
        </w:rPr>
        <w:t>认真贯彻落实国务院《重大行政决策程序暂行条例》《江苏省重大行政决策程序实施办法》和《苏州市重大行政决策程序规定实施细则》有关规定，促进行政机关科学民主依法决策。配合区委、区政府要求，开展规范性文件清理，根据法律、规章变化及时调整规范性文件内容并上报已废止规范性文件。</w:t>
      </w:r>
    </w:p>
    <w:p w14:paraId="1ED7E260">
      <w:pPr>
        <w:spacing w:line="560" w:lineRule="exact"/>
        <w:ind w:firstLine="600" w:firstLineChars="200"/>
        <w:rPr>
          <w:rFonts w:ascii="Times New Roman" w:hAnsi="Times New Roman" w:eastAsia="仿宋_GB2312"/>
          <w:spacing w:val="-10"/>
          <w:sz w:val="32"/>
          <w:szCs w:val="32"/>
        </w:rPr>
      </w:pPr>
      <w:r>
        <w:rPr>
          <w:rFonts w:hint="eastAsia" w:ascii="Times New Roman" w:hAnsi="Times New Roman" w:eastAsia="楷体_GB2312"/>
          <w:spacing w:val="-10"/>
          <w:sz w:val="32"/>
          <w:szCs w:val="32"/>
        </w:rPr>
        <w:t>（四）</w:t>
      </w:r>
      <w:r>
        <w:rPr>
          <w:rFonts w:ascii="Times New Roman" w:hAnsi="Times New Roman" w:eastAsia="楷体_GB2312"/>
          <w:spacing w:val="-10"/>
          <w:sz w:val="32"/>
          <w:szCs w:val="32"/>
        </w:rPr>
        <w:t>维护社会稳定</w:t>
      </w:r>
      <w:r>
        <w:rPr>
          <w:rFonts w:hint="eastAsia" w:ascii="Times New Roman" w:hAnsi="Times New Roman" w:eastAsia="楷体_GB2312"/>
          <w:spacing w:val="-10"/>
          <w:sz w:val="32"/>
          <w:szCs w:val="32"/>
        </w:rPr>
        <w:t>，</w:t>
      </w:r>
      <w:r>
        <w:rPr>
          <w:rFonts w:ascii="Times New Roman" w:hAnsi="Times New Roman" w:eastAsia="楷体_GB2312"/>
          <w:spacing w:val="-10"/>
          <w:sz w:val="32"/>
          <w:szCs w:val="32"/>
        </w:rPr>
        <w:t>加强</w:t>
      </w:r>
      <w:r>
        <w:rPr>
          <w:rFonts w:hint="eastAsia" w:ascii="Times New Roman" w:hAnsi="Times New Roman" w:eastAsia="楷体_GB2312"/>
          <w:spacing w:val="-10"/>
          <w:sz w:val="32"/>
          <w:szCs w:val="32"/>
        </w:rPr>
        <w:t>社会</w:t>
      </w:r>
      <w:r>
        <w:rPr>
          <w:rFonts w:ascii="Times New Roman" w:hAnsi="Times New Roman" w:eastAsia="楷体_GB2312"/>
          <w:spacing w:val="-10"/>
          <w:sz w:val="32"/>
          <w:szCs w:val="32"/>
        </w:rPr>
        <w:t>矛盾纠纷化解。</w:t>
      </w:r>
      <w:r>
        <w:rPr>
          <w:rFonts w:ascii="Times New Roman" w:hAnsi="Times New Roman" w:eastAsia="仿宋_GB2312"/>
          <w:spacing w:val="-10"/>
          <w:sz w:val="32"/>
          <w:szCs w:val="32"/>
        </w:rPr>
        <w:t>运用法律手段处理新车、二手车、预付卡领域纠纷问题。今年以来各平台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处理</w:t>
      </w:r>
      <w:r>
        <w:rPr>
          <w:rFonts w:ascii="Times New Roman" w:hAnsi="Times New Roman" w:eastAsia="仿宋_GB2312"/>
          <w:spacing w:val="-10"/>
          <w:sz w:val="32"/>
          <w:szCs w:val="32"/>
        </w:rPr>
        <w:t>投诉、咨询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近8</w:t>
      </w:r>
      <w:r>
        <w:rPr>
          <w:rFonts w:ascii="Times New Roman" w:hAnsi="Times New Roman" w:eastAsia="仿宋_GB2312"/>
          <w:spacing w:val="-10"/>
          <w:sz w:val="32"/>
          <w:szCs w:val="32"/>
        </w:rPr>
        <w:t>000件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，</w:t>
      </w:r>
      <w:r>
        <w:rPr>
          <w:rFonts w:ascii="Times New Roman" w:hAnsi="Times New Roman" w:eastAsia="仿宋_GB2312"/>
          <w:spacing w:val="-10"/>
          <w:sz w:val="32"/>
          <w:szCs w:val="32"/>
        </w:rPr>
        <w:t>成立预付式消费纠纷问题工作组，召开二手车投诉处理专题工作会，拟定《二手车投诉处置职责分工清单》，依据管行业管投诉的原则，明确各部门职责，充分发挥职能部门作用。专人专事处理投诉咨询，确保反馈及时高效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。</w:t>
      </w:r>
      <w:r>
        <w:rPr>
          <w:rFonts w:ascii="Times New Roman" w:hAnsi="Times New Roman" w:eastAsia="仿宋_GB2312"/>
          <w:spacing w:val="-10"/>
          <w:sz w:val="32"/>
          <w:szCs w:val="32"/>
        </w:rPr>
        <w:t>畅通信息沟通渠道，协调资源统一行动，切实保障消费者合法权益。开展“315”预付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卡</w:t>
      </w:r>
      <w:r>
        <w:rPr>
          <w:rFonts w:ascii="Times New Roman" w:hAnsi="Times New Roman" w:eastAsia="仿宋_GB2312"/>
          <w:spacing w:val="-10"/>
          <w:sz w:val="32"/>
          <w:szCs w:val="32"/>
        </w:rPr>
        <w:t xml:space="preserve">消费宣传活动，发放宣传折页逾千份，提高消费者维权意识，丰富消费者维权知识。借助商圈平台，循环播放消费提醒，加强消费充值预警。 </w:t>
      </w:r>
    </w:p>
    <w:p w14:paraId="221DB3D4">
      <w:pPr>
        <w:spacing w:line="560" w:lineRule="exact"/>
        <w:ind w:firstLine="600" w:firstLineChars="200"/>
        <w:rPr>
          <w:rFonts w:ascii="Times New Roman" w:hAnsi="Times New Roman" w:eastAsia="黑体"/>
          <w:spacing w:val="-10"/>
          <w:sz w:val="32"/>
          <w:szCs w:val="32"/>
        </w:rPr>
      </w:pPr>
      <w:r>
        <w:rPr>
          <w:rFonts w:ascii="Times New Roman" w:hAnsi="Times New Roman" w:eastAsia="黑体"/>
          <w:spacing w:val="-10"/>
          <w:sz w:val="32"/>
          <w:szCs w:val="32"/>
        </w:rPr>
        <w:t>二、主要负责人履行推进法治政府建设第一责任人职责情况</w:t>
      </w:r>
    </w:p>
    <w:p w14:paraId="623CEA33">
      <w:pPr>
        <w:pStyle w:val="11"/>
        <w:spacing w:line="560" w:lineRule="exact"/>
        <w:ind w:firstLine="680"/>
        <w:rPr>
          <w:rFonts w:ascii="Times New Roman" w:hAnsi="Times New Roman" w:eastAsia="仿宋_GB2312"/>
          <w:spacing w:val="-10"/>
          <w:sz w:val="32"/>
          <w:szCs w:val="32"/>
        </w:rPr>
      </w:pPr>
      <w:r>
        <w:rPr>
          <w:rFonts w:hint="eastAsia" w:ascii="Times New Roman" w:hAnsi="Times New Roman" w:eastAsia="楷体_GB2312"/>
          <w:spacing w:val="-10"/>
          <w:sz w:val="32"/>
          <w:szCs w:val="32"/>
        </w:rPr>
        <w:t>（一）</w:t>
      </w:r>
      <w:r>
        <w:rPr>
          <w:rFonts w:ascii="Times New Roman" w:hAnsi="Times New Roman" w:eastAsia="楷体_GB2312"/>
          <w:spacing w:val="-10"/>
          <w:sz w:val="32"/>
          <w:szCs w:val="32"/>
        </w:rPr>
        <w:t>坚持学法守法。</w:t>
      </w:r>
      <w:r>
        <w:rPr>
          <w:rFonts w:ascii="Times New Roman" w:hAnsi="Times New Roman" w:eastAsia="仿宋_GB2312"/>
          <w:spacing w:val="-10"/>
          <w:sz w:val="32"/>
          <w:szCs w:val="32"/>
        </w:rPr>
        <w:t>深刻领会习近平法治思想，积极学习以宪法为核心的中国特色社会主义法律体系。通过阅读法律书籍、参加“东吴大讲堂”培训等途径，扎实学习《中华人民共和国民法典》《中华人民共和国对外贸易法》《中华人民共和国外商投资法》等法律法规，提升法律素养，增强法律意识，更好地开展商务领域工作。深入学习《中国共产党章程》《中国共产党纪律处分条例》等党内法规，进一步提高政治站位，增强“四个意识”、坚定“四个自信”、以实际行动做到“两个维护”。</w:t>
      </w:r>
    </w:p>
    <w:p w14:paraId="55F18CF4">
      <w:pPr>
        <w:pStyle w:val="11"/>
        <w:spacing w:line="560" w:lineRule="exact"/>
        <w:ind w:firstLine="680"/>
        <w:rPr>
          <w:rFonts w:ascii="Times New Roman" w:hAnsi="Times New Roman" w:eastAsia="仿宋_GB2312"/>
          <w:spacing w:val="-10"/>
          <w:sz w:val="32"/>
          <w:szCs w:val="32"/>
        </w:rPr>
      </w:pPr>
      <w:r>
        <w:rPr>
          <w:rFonts w:hint="eastAsia" w:ascii="Times New Roman" w:hAnsi="Times New Roman" w:eastAsia="楷体_GB2312"/>
          <w:spacing w:val="-10"/>
          <w:sz w:val="32"/>
          <w:szCs w:val="32"/>
        </w:rPr>
        <w:t>（二）</w:t>
      </w:r>
      <w:r>
        <w:rPr>
          <w:rFonts w:ascii="Times New Roman" w:hAnsi="Times New Roman" w:eastAsia="楷体_GB2312"/>
          <w:spacing w:val="-10"/>
          <w:sz w:val="32"/>
          <w:szCs w:val="32"/>
        </w:rPr>
        <w:t>深化组织领导。</w:t>
      </w:r>
      <w:r>
        <w:rPr>
          <w:rFonts w:ascii="Times New Roman" w:hAnsi="Times New Roman" w:eastAsia="仿宋_GB2312"/>
          <w:spacing w:val="-10"/>
          <w:sz w:val="32"/>
          <w:szCs w:val="32"/>
        </w:rPr>
        <w:t>坚持党组对法治建设工作的领导，认真落实习近平总书记关于“完善党政主要负责人履行推进法治建设第一责任人职责的约束机制”重要指示精神，履行党政主要负责人法治建设第一责任人职责，建立完善述法制度，召开部署法治建设相关会议，主要负责人带头解读商务法律法规，将推进依法行政、建设法治政府工作纳入商务局发展总体规划和年度工作计划，将法治思维贯穿研究思考、谋划设计、拍板决策、推动工作的全过程、各方面，并通过述法总结工作、接受监督、发现问题、改进提高。</w:t>
      </w:r>
    </w:p>
    <w:p w14:paraId="4CC8C966">
      <w:pPr>
        <w:pStyle w:val="11"/>
        <w:spacing w:line="560" w:lineRule="exact"/>
        <w:ind w:firstLine="680"/>
        <w:rPr>
          <w:rFonts w:ascii="Times New Roman" w:hAnsi="Times New Roman" w:eastAsia="仿宋_GB2312"/>
          <w:spacing w:val="-10"/>
          <w:sz w:val="32"/>
          <w:szCs w:val="32"/>
        </w:rPr>
      </w:pPr>
      <w:r>
        <w:rPr>
          <w:rFonts w:hint="eastAsia" w:ascii="Times New Roman" w:hAnsi="Times New Roman" w:eastAsia="楷体_GB2312"/>
          <w:spacing w:val="-10"/>
          <w:sz w:val="32"/>
          <w:szCs w:val="32"/>
        </w:rPr>
        <w:t>（三）</w:t>
      </w:r>
      <w:r>
        <w:rPr>
          <w:rFonts w:ascii="Times New Roman" w:hAnsi="Times New Roman" w:eastAsia="楷体_GB2312"/>
          <w:spacing w:val="-10"/>
          <w:sz w:val="32"/>
          <w:szCs w:val="32"/>
        </w:rPr>
        <w:t>全面依法履职。</w:t>
      </w:r>
      <w:r>
        <w:rPr>
          <w:rFonts w:ascii="Times New Roman" w:hAnsi="Times New Roman" w:eastAsia="仿宋_GB2312"/>
          <w:spacing w:val="-10"/>
          <w:sz w:val="32"/>
          <w:szCs w:val="32"/>
        </w:rPr>
        <w:t>依法全面履行政府职能，加强行政检查规范化建设，加大对重点领域检查力度，推进严格规范公正文明履职。督促领导班子其他成员依法行政，不得干预司法活动，插手具体案件处理情况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。</w:t>
      </w:r>
      <w:r>
        <w:rPr>
          <w:rFonts w:ascii="Times New Roman" w:hAnsi="Times New Roman" w:eastAsia="仿宋_GB2312"/>
          <w:spacing w:val="-10"/>
          <w:sz w:val="32"/>
          <w:szCs w:val="32"/>
        </w:rPr>
        <w:t>自觉接受人大监督、政协民主监督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。</w:t>
      </w:r>
      <w:r>
        <w:rPr>
          <w:rFonts w:ascii="Times New Roman" w:hAnsi="Times New Roman" w:eastAsia="仿宋_GB2312"/>
          <w:spacing w:val="-10"/>
          <w:sz w:val="32"/>
          <w:szCs w:val="32"/>
        </w:rPr>
        <w:t>推动完善部门内部层级监督和专门监督，纠正行政不作为、乱作为情况。</w:t>
      </w:r>
    </w:p>
    <w:p w14:paraId="049018C7">
      <w:pPr>
        <w:spacing w:line="560" w:lineRule="exact"/>
        <w:ind w:firstLine="600" w:firstLineChars="200"/>
        <w:rPr>
          <w:rFonts w:ascii="Times New Roman" w:hAnsi="Times New Roman" w:eastAsia="黑体"/>
          <w:spacing w:val="-10"/>
          <w:sz w:val="32"/>
          <w:szCs w:val="32"/>
        </w:rPr>
      </w:pPr>
      <w:r>
        <w:rPr>
          <w:rFonts w:ascii="Times New Roman" w:hAnsi="Times New Roman" w:eastAsia="黑体"/>
          <w:spacing w:val="-10"/>
          <w:sz w:val="32"/>
          <w:szCs w:val="32"/>
        </w:rPr>
        <w:t>三、存在的不足和原因</w:t>
      </w:r>
    </w:p>
    <w:p w14:paraId="0D5EC650">
      <w:pPr>
        <w:spacing w:line="560" w:lineRule="exact"/>
        <w:ind w:firstLine="600" w:firstLineChars="200"/>
        <w:rPr>
          <w:rFonts w:ascii="Times New Roman" w:hAnsi="Times New Roman" w:eastAsia="仿宋_GB2312"/>
          <w:spacing w:val="-10"/>
          <w:sz w:val="32"/>
          <w:szCs w:val="32"/>
        </w:rPr>
      </w:pPr>
      <w:r>
        <w:rPr>
          <w:rFonts w:ascii="Times New Roman" w:hAnsi="Times New Roman" w:eastAsia="仿宋_GB2312"/>
          <w:spacing w:val="-10"/>
          <w:sz w:val="32"/>
          <w:szCs w:val="32"/>
        </w:rPr>
        <w:t>2024年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，</w:t>
      </w:r>
      <w:r>
        <w:rPr>
          <w:rFonts w:ascii="Times New Roman" w:hAnsi="Times New Roman" w:eastAsia="仿宋_GB2312"/>
          <w:spacing w:val="-10"/>
          <w:sz w:val="32"/>
          <w:szCs w:val="32"/>
        </w:rPr>
        <w:t>吴中区商务局在推进法治政府建设中取得了一定成效，但与上级要求和群众的期望仍存在一些差距，主要表现在：</w:t>
      </w:r>
    </w:p>
    <w:p w14:paraId="5085D225">
      <w:pPr>
        <w:spacing w:line="560" w:lineRule="exact"/>
        <w:ind w:firstLine="600" w:firstLineChars="200"/>
        <w:rPr>
          <w:rFonts w:ascii="Times New Roman" w:hAnsi="Times New Roman" w:eastAsia="仿宋_GB2312"/>
          <w:spacing w:val="-10"/>
          <w:sz w:val="32"/>
          <w:szCs w:val="32"/>
        </w:rPr>
      </w:pPr>
      <w:r>
        <w:rPr>
          <w:rFonts w:hint="eastAsia" w:ascii="Times New Roman" w:hAnsi="Times New Roman" w:eastAsia="楷体_GB2312"/>
          <w:spacing w:val="-10"/>
          <w:sz w:val="32"/>
          <w:szCs w:val="32"/>
        </w:rPr>
        <w:t>（一）</w:t>
      </w:r>
      <w:r>
        <w:rPr>
          <w:rFonts w:ascii="Times New Roman" w:hAnsi="Times New Roman" w:eastAsia="楷体_GB2312"/>
          <w:spacing w:val="-10"/>
          <w:sz w:val="32"/>
          <w:szCs w:val="32"/>
        </w:rPr>
        <w:t>执法队伍建设和执法能力有待进一步提升。</w:t>
      </w:r>
      <w:r>
        <w:rPr>
          <w:rFonts w:ascii="Times New Roman" w:hAnsi="Times New Roman" w:eastAsia="仿宋_GB2312"/>
          <w:spacing w:val="-10"/>
          <w:sz w:val="32"/>
          <w:szCs w:val="32"/>
        </w:rPr>
        <w:t>商务领域涉及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的</w:t>
      </w:r>
      <w:r>
        <w:rPr>
          <w:rFonts w:ascii="Times New Roman" w:hAnsi="Times New Roman" w:eastAsia="仿宋_GB2312"/>
          <w:spacing w:val="-10"/>
          <w:sz w:val="32"/>
          <w:szCs w:val="32"/>
        </w:rPr>
        <w:t>《中华人民共和国对外贸易法》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《中华人民共和国外商投资法》等</w:t>
      </w:r>
      <w:r>
        <w:rPr>
          <w:rFonts w:ascii="Times New Roman" w:hAnsi="Times New Roman" w:eastAsia="仿宋_GB2312"/>
          <w:spacing w:val="-10"/>
          <w:sz w:val="32"/>
          <w:szCs w:val="32"/>
        </w:rPr>
        <w:t>法律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的</w:t>
      </w:r>
      <w:r>
        <w:rPr>
          <w:rFonts w:ascii="Times New Roman" w:hAnsi="Times New Roman" w:eastAsia="仿宋_GB2312"/>
          <w:spacing w:val="-10"/>
          <w:sz w:val="32"/>
          <w:szCs w:val="32"/>
        </w:rPr>
        <w:t>细致性要求高，由于部分工作人员未接受过系统专业的法律教育，</w:t>
      </w:r>
      <w:r>
        <w:rPr>
          <w:rFonts w:hint="eastAsia" w:ascii="Times New Roman" w:hAnsi="Times New Roman" w:eastAsia="仿宋_GB2312"/>
          <w:spacing w:val="-10"/>
          <w:sz w:val="32"/>
          <w:szCs w:val="32"/>
        </w:rPr>
        <w:t>法治</w:t>
      </w:r>
      <w:r>
        <w:rPr>
          <w:rFonts w:ascii="Times New Roman" w:hAnsi="Times New Roman" w:eastAsia="仿宋_GB2312"/>
          <w:spacing w:val="-10"/>
          <w:sz w:val="32"/>
          <w:szCs w:val="32"/>
        </w:rPr>
        <w:t>队伍的法律综合素质还未能很好适应依法行政的要求，法治工作有时不够深入、细致。</w:t>
      </w:r>
    </w:p>
    <w:p w14:paraId="62ABC31D">
      <w:pPr>
        <w:spacing w:line="560" w:lineRule="exact"/>
        <w:ind w:firstLine="600" w:firstLineChars="200"/>
        <w:rPr>
          <w:rFonts w:ascii="Times New Roman" w:hAnsi="Times New Roman" w:eastAsia="仿宋_GB2312"/>
          <w:spacing w:val="-10"/>
          <w:sz w:val="32"/>
          <w:szCs w:val="32"/>
        </w:rPr>
      </w:pPr>
      <w:r>
        <w:rPr>
          <w:rFonts w:hint="eastAsia" w:ascii="Times New Roman" w:hAnsi="Times New Roman" w:eastAsia="楷体_GB2312"/>
          <w:spacing w:val="-10"/>
          <w:sz w:val="32"/>
          <w:szCs w:val="32"/>
        </w:rPr>
        <w:t>（二）</w:t>
      </w:r>
      <w:r>
        <w:rPr>
          <w:rFonts w:ascii="Times New Roman" w:hAnsi="Times New Roman" w:eastAsia="楷体_GB2312"/>
          <w:spacing w:val="-10"/>
          <w:sz w:val="32"/>
          <w:szCs w:val="32"/>
        </w:rPr>
        <w:t>法治宣传工作的形式需要进一步丰富。</w:t>
      </w:r>
      <w:r>
        <w:rPr>
          <w:rFonts w:ascii="Times New Roman" w:hAnsi="Times New Roman" w:eastAsia="仿宋_GB2312"/>
          <w:spacing w:val="-10"/>
          <w:sz w:val="32"/>
          <w:szCs w:val="32"/>
        </w:rPr>
        <w:t>普法宣传的形式、途径和载体还较为单一，缺少互动性、新颖性，宣传效果有待提高，整体法治氛围还不够浓厚，需要进一步探索创新精准化、智慧化的法治宣传模式。</w:t>
      </w:r>
    </w:p>
    <w:p w14:paraId="6FC080C6">
      <w:pPr>
        <w:spacing w:line="560" w:lineRule="exact"/>
        <w:ind w:firstLine="600" w:firstLineChars="200"/>
        <w:rPr>
          <w:rFonts w:ascii="Times New Roman" w:hAnsi="Times New Roman" w:eastAsia="黑体"/>
          <w:spacing w:val="-10"/>
          <w:sz w:val="32"/>
          <w:szCs w:val="32"/>
        </w:rPr>
      </w:pPr>
      <w:r>
        <w:rPr>
          <w:rFonts w:ascii="Times New Roman" w:hAnsi="Times New Roman" w:eastAsia="黑体"/>
          <w:spacing w:val="-10"/>
          <w:sz w:val="32"/>
          <w:szCs w:val="32"/>
        </w:rPr>
        <w:t>四、下一年度计划安排</w:t>
      </w:r>
    </w:p>
    <w:p w14:paraId="1688F88B">
      <w:pPr>
        <w:spacing w:line="560" w:lineRule="exact"/>
        <w:ind w:firstLine="600" w:firstLineChars="200"/>
        <w:rPr>
          <w:rFonts w:ascii="Times New Roman" w:hAnsi="Times New Roman" w:eastAsia="仿宋_GB2312"/>
          <w:spacing w:val="-10"/>
          <w:sz w:val="32"/>
          <w:szCs w:val="32"/>
        </w:rPr>
      </w:pPr>
      <w:r>
        <w:rPr>
          <w:rFonts w:hint="eastAsia" w:ascii="Times New Roman" w:hAnsi="Times New Roman" w:eastAsia="仿宋_GB2312"/>
          <w:spacing w:val="-10"/>
          <w:sz w:val="32"/>
          <w:szCs w:val="32"/>
        </w:rPr>
        <w:t>2025年</w:t>
      </w:r>
      <w:r>
        <w:rPr>
          <w:rFonts w:ascii="Times New Roman" w:hAnsi="Times New Roman" w:eastAsia="仿宋_GB2312"/>
          <w:spacing w:val="-10"/>
          <w:sz w:val="32"/>
          <w:szCs w:val="32"/>
        </w:rPr>
        <w:t>，我局将坚持问题导向、目标导向，加大力度、优化措施，加强法治工作队伍建设，着力营造浓厚法治氛围。</w:t>
      </w:r>
    </w:p>
    <w:p w14:paraId="4D68A198">
      <w:pPr>
        <w:spacing w:line="560" w:lineRule="exact"/>
        <w:ind w:firstLine="600" w:firstLineChars="200"/>
        <w:rPr>
          <w:rFonts w:ascii="Times New Roman" w:hAnsi="Times New Roman" w:eastAsia="仿宋_GB2312"/>
          <w:spacing w:val="-10"/>
          <w:sz w:val="32"/>
          <w:szCs w:val="32"/>
        </w:rPr>
      </w:pPr>
      <w:r>
        <w:rPr>
          <w:rFonts w:ascii="Times New Roman" w:hAnsi="Times New Roman" w:eastAsia="楷体_GB2312"/>
          <w:spacing w:val="-10"/>
          <w:sz w:val="32"/>
          <w:szCs w:val="32"/>
        </w:rPr>
        <w:t>（一）进一步提高依法行政能力水平。</w:t>
      </w:r>
      <w:r>
        <w:rPr>
          <w:rFonts w:ascii="Times New Roman" w:hAnsi="Times New Roman" w:eastAsia="仿宋_GB2312"/>
          <w:spacing w:val="-10"/>
          <w:sz w:val="32"/>
          <w:szCs w:val="32"/>
        </w:rPr>
        <w:t>坚持以习近平新时代中国特色社会主义思想为指导，健全并落实学法制度，领导干部带头学习和掌握法律法规相关规定。加强法治教育培训，组织开展形式多样的法治教育培训活动，针对不同岗位的工作人员进行有针对性的培训，提高工作人员法律意识和业务水平。</w:t>
      </w:r>
    </w:p>
    <w:p w14:paraId="6E390B42">
      <w:pPr>
        <w:spacing w:line="560" w:lineRule="exact"/>
        <w:ind w:firstLine="600" w:firstLineChars="200"/>
        <w:rPr>
          <w:rFonts w:ascii="Times New Roman" w:hAnsi="Times New Roman" w:eastAsia="仿宋_GB2312"/>
          <w:spacing w:val="-10"/>
          <w:sz w:val="32"/>
          <w:szCs w:val="32"/>
        </w:rPr>
      </w:pPr>
      <w:r>
        <w:rPr>
          <w:rFonts w:ascii="Times New Roman" w:hAnsi="Times New Roman" w:eastAsia="楷体_GB2312"/>
          <w:spacing w:val="-10"/>
          <w:sz w:val="32"/>
          <w:szCs w:val="32"/>
        </w:rPr>
        <w:t>（二）进一步完善规章制度建设。</w:t>
      </w:r>
      <w:r>
        <w:rPr>
          <w:rFonts w:ascii="Times New Roman" w:hAnsi="Times New Roman" w:eastAsia="仿宋_GB2312"/>
          <w:spacing w:val="-10"/>
          <w:sz w:val="32"/>
          <w:szCs w:val="32"/>
        </w:rPr>
        <w:t>积极贯彻区委依法治区办各项工作要求，全面推进落实法治政府建设各项工作任务安排，梳理和完善原有规章制度，制定符合法律法规和政策要求的内部管理制度，同时加强对制度执行情况的监督检查，确保各项制度得到有效执行。</w:t>
      </w:r>
    </w:p>
    <w:p w14:paraId="7F807169">
      <w:pPr>
        <w:spacing w:line="560" w:lineRule="exact"/>
        <w:ind w:firstLine="600" w:firstLineChars="200"/>
        <w:rPr>
          <w:rFonts w:ascii="Times New Roman" w:hAnsi="Times New Roman" w:eastAsia="仿宋_GB2312"/>
          <w:spacing w:val="-10"/>
          <w:sz w:val="32"/>
          <w:szCs w:val="32"/>
        </w:rPr>
      </w:pPr>
      <w:r>
        <w:rPr>
          <w:rFonts w:ascii="Times New Roman" w:hAnsi="Times New Roman" w:eastAsia="楷体_GB2312"/>
          <w:spacing w:val="-10"/>
          <w:sz w:val="32"/>
          <w:szCs w:val="32"/>
        </w:rPr>
        <w:t>（三）进一步推进法治宣传教育。</w:t>
      </w:r>
      <w:r>
        <w:rPr>
          <w:rFonts w:ascii="Times New Roman" w:hAnsi="Times New Roman" w:eastAsia="仿宋_GB2312"/>
          <w:spacing w:val="-10"/>
          <w:sz w:val="32"/>
          <w:szCs w:val="32"/>
        </w:rPr>
        <w:t>健全法治宣传教育机制，通过线上线下多种宣传载体，不断加强普法力度，加大政策宣传，努力营造“办事依法、遇事找法、解决问题用法、化解矛盾靠法”的良好法治环境。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985" w:right="1701" w:bottom="1701" w:left="170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76275833"/>
      <w:docPartObj>
        <w:docPartGallery w:val="AutoText"/>
      </w:docPartObj>
    </w:sdtPr>
    <w:sdtContent>
      <w:p w14:paraId="7CD10240">
        <w:pPr>
          <w:pStyle w:val="12"/>
          <w:jc w:val="center"/>
        </w:pPr>
        <w:r>
          <w:rPr>
            <w:rFonts w:ascii="Times New Roman" w:hAnsi="Times New Roman"/>
            <w:sz w:val="28"/>
            <w:szCs w:val="28"/>
          </w:rPr>
          <w:fldChar w:fldCharType="begin"/>
        </w:r>
        <w:r>
          <w:rPr>
            <w:rFonts w:ascii="Times New Roman" w:hAnsi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/>
            <w:sz w:val="28"/>
            <w:szCs w:val="28"/>
          </w:rPr>
          <w:fldChar w:fldCharType="separate"/>
        </w:r>
        <w:r>
          <w:rPr>
            <w:rFonts w:ascii="Times New Roman" w:hAnsi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  <w:p w14:paraId="3B10597F">
    <w:pPr>
      <w:pStyle w:val="1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FD4ED9">
    <w:pPr>
      <w:pStyle w:val="1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F59329">
    <w:pPr>
      <w:pStyle w:val="1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DDF90F">
    <w:pPr>
      <w:pStyle w:val="1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3C7C9C">
    <w:pPr>
      <w:pStyle w:val="1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DD194E">
    <w:pPr>
      <w:pStyle w:val="1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3DA"/>
    <w:rsid w:val="000244AB"/>
    <w:rsid w:val="0005458B"/>
    <w:rsid w:val="00065913"/>
    <w:rsid w:val="0009498F"/>
    <w:rsid w:val="000B74DE"/>
    <w:rsid w:val="000E229D"/>
    <w:rsid w:val="00130996"/>
    <w:rsid w:val="00141FF5"/>
    <w:rsid w:val="00153FA1"/>
    <w:rsid w:val="001635A9"/>
    <w:rsid w:val="00172E57"/>
    <w:rsid w:val="001770CC"/>
    <w:rsid w:val="00190C22"/>
    <w:rsid w:val="00193741"/>
    <w:rsid w:val="001F53DA"/>
    <w:rsid w:val="002762E5"/>
    <w:rsid w:val="002E6701"/>
    <w:rsid w:val="003374B2"/>
    <w:rsid w:val="00353535"/>
    <w:rsid w:val="00356B7B"/>
    <w:rsid w:val="00394A07"/>
    <w:rsid w:val="00450E00"/>
    <w:rsid w:val="0045163E"/>
    <w:rsid w:val="00465709"/>
    <w:rsid w:val="00465BAF"/>
    <w:rsid w:val="00467A45"/>
    <w:rsid w:val="0048077C"/>
    <w:rsid w:val="00480C70"/>
    <w:rsid w:val="004C2087"/>
    <w:rsid w:val="004F29D9"/>
    <w:rsid w:val="00503CDF"/>
    <w:rsid w:val="00526209"/>
    <w:rsid w:val="00533A97"/>
    <w:rsid w:val="00555C42"/>
    <w:rsid w:val="0056594F"/>
    <w:rsid w:val="00592F2F"/>
    <w:rsid w:val="00595836"/>
    <w:rsid w:val="005D47D1"/>
    <w:rsid w:val="00602F00"/>
    <w:rsid w:val="00640A6C"/>
    <w:rsid w:val="00692FCE"/>
    <w:rsid w:val="006951E6"/>
    <w:rsid w:val="006A51B1"/>
    <w:rsid w:val="006D49D6"/>
    <w:rsid w:val="006D6178"/>
    <w:rsid w:val="00720B4B"/>
    <w:rsid w:val="00722D61"/>
    <w:rsid w:val="00732517"/>
    <w:rsid w:val="0075791A"/>
    <w:rsid w:val="00763C37"/>
    <w:rsid w:val="00774E6B"/>
    <w:rsid w:val="00775D60"/>
    <w:rsid w:val="007958FC"/>
    <w:rsid w:val="007C1260"/>
    <w:rsid w:val="007C549E"/>
    <w:rsid w:val="007C653E"/>
    <w:rsid w:val="007D3AA8"/>
    <w:rsid w:val="007F1B4A"/>
    <w:rsid w:val="007F1F10"/>
    <w:rsid w:val="0080230A"/>
    <w:rsid w:val="00812534"/>
    <w:rsid w:val="008657E6"/>
    <w:rsid w:val="008D0715"/>
    <w:rsid w:val="00915585"/>
    <w:rsid w:val="00936F3A"/>
    <w:rsid w:val="00970770"/>
    <w:rsid w:val="009C607C"/>
    <w:rsid w:val="00A12DBA"/>
    <w:rsid w:val="00A3739F"/>
    <w:rsid w:val="00A522C0"/>
    <w:rsid w:val="00AE59C0"/>
    <w:rsid w:val="00B002D0"/>
    <w:rsid w:val="00B26E20"/>
    <w:rsid w:val="00B31E81"/>
    <w:rsid w:val="00B70E5D"/>
    <w:rsid w:val="00B80F8C"/>
    <w:rsid w:val="00B851DD"/>
    <w:rsid w:val="00B85A0C"/>
    <w:rsid w:val="00BD4F61"/>
    <w:rsid w:val="00BF47F6"/>
    <w:rsid w:val="00BF6A19"/>
    <w:rsid w:val="00C02D2E"/>
    <w:rsid w:val="00C05401"/>
    <w:rsid w:val="00C2392B"/>
    <w:rsid w:val="00C376D6"/>
    <w:rsid w:val="00C66828"/>
    <w:rsid w:val="00C90E72"/>
    <w:rsid w:val="00CA2395"/>
    <w:rsid w:val="00CC0159"/>
    <w:rsid w:val="00CD47FD"/>
    <w:rsid w:val="00CE1009"/>
    <w:rsid w:val="00D1628E"/>
    <w:rsid w:val="00D548B7"/>
    <w:rsid w:val="00D81CBE"/>
    <w:rsid w:val="00DD6EAF"/>
    <w:rsid w:val="00E445AB"/>
    <w:rsid w:val="00F64508"/>
    <w:rsid w:val="00FF6066"/>
    <w:rsid w:val="00FF77AB"/>
    <w:rsid w:val="62DF2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14:ligatures w14:val="standardContextual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 w:val="22"/>
      <w14:ligatures w14:val="standardContextual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7">
    <w:name w:val="Default Paragraph Font"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unhideWhenUsed/>
    <w:uiPriority w:val="99"/>
    <w:pPr>
      <w:ind w:firstLine="420" w:firstLineChars="200"/>
    </w:pPr>
  </w:style>
  <w:style w:type="paragraph" w:styleId="12">
    <w:name w:val="foot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8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5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8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3">
    <w:name w:val="标题 6 字符"/>
    <w:basedOn w:val="17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4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30">
    <w:name w:val="引用 字符"/>
    <w:basedOn w:val="17"/>
    <w:link w:val="29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rFonts w:asciiTheme="minorHAnsi" w:hAnsiTheme="minorHAnsi" w:eastAsiaTheme="minorEastAsia" w:cstheme="minorBidi"/>
      <w:sz w:val="22"/>
      <w14:ligatures w14:val="standardContextual"/>
    </w:r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 w:val="22"/>
      <w14:ligatures w14:val="standardContextual"/>
    </w:rPr>
  </w:style>
  <w:style w:type="character" w:customStyle="1" w:styleId="34">
    <w:name w:val="明显引用 字符"/>
    <w:basedOn w:val="17"/>
    <w:link w:val="33"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3"/>
    <w:uiPriority w:val="99"/>
    <w:rPr>
      <w:rFonts w:ascii="Calibri" w:hAnsi="Calibri" w:eastAsia="宋体" w:cs="Times New Roman"/>
      <w:sz w:val="18"/>
      <w:szCs w:val="18"/>
      <w14:ligatures w14:val="none"/>
    </w:rPr>
  </w:style>
  <w:style w:type="character" w:customStyle="1" w:styleId="37">
    <w:name w:val="页脚 字符"/>
    <w:basedOn w:val="17"/>
    <w:link w:val="12"/>
    <w:uiPriority w:val="99"/>
    <w:rPr>
      <w:rFonts w:ascii="Calibri" w:hAnsi="Calibri" w:eastAsia="宋体" w:cs="Times New Roman"/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2221</Words>
  <Characters>2240</Characters>
  <Lines>16</Lines>
  <Paragraphs>4</Paragraphs>
  <TotalTime>427</TotalTime>
  <ScaleCrop>false</ScaleCrop>
  <LinksUpToDate>false</LinksUpToDate>
  <CharactersWithSpaces>2241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2024-12-12T02:26:00Z</dcterms:created>
  <dc:creator>小方</dc:creator>
  <cp:lastModifiedBy>苏叶子</cp:lastModifiedBy>
  <cp:lastPrinted>2025-01-02T07:34:00Z</cp:lastPrinted>
  <dcterms:modified xsi:type="dcterms:W3CDTF">2025-01-03T06:14:03Z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eyJoZGlkIjoiM2UxNjE0ZGY3MTUyODg2ZmM1ZDViNTc1ODhmMGQ4OGMiLCJ1c2VySWQiOiI1NjY5NzQ5MzQifQ==</vt:lpwstr>
  </property>
  <property fmtid="{D5CDD505-2E9C-101B-9397-08002B2CF9AE}" pid="3" name="KSOProductBuildVer">
    <vt:lpwstr>2052-12.1.0.19770</vt:lpwstr>
  </property>
  <property fmtid="{D5CDD505-2E9C-101B-9397-08002B2CF9AE}" pid="4" name="ICV">
    <vt:lpwstr>8E75E97CF7114F2E9CCA78C7F837FB6F_12</vt:lpwstr>
  </property>
</Properties>
</file>