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111" w:rsidRDefault="00644590">
      <w:pPr>
        <w:pStyle w:val="a6"/>
        <w:spacing w:line="580" w:lineRule="exact"/>
        <w:ind w:firstLineChars="0" w:firstLine="0"/>
        <w:rPr>
          <w:rFonts w:ascii="方正小标宋_GBK" w:eastAsia="方正小标宋_GBK"/>
          <w:b w:val="0"/>
          <w:sz w:val="44"/>
        </w:rPr>
      </w:pPr>
      <w:r>
        <w:rPr>
          <w:rFonts w:ascii="方正小标宋_GBK" w:eastAsia="方正小标宋_GBK" w:hint="eastAsia"/>
          <w:b w:val="0"/>
          <w:sz w:val="44"/>
        </w:rPr>
        <w:t>关于《吴中区</w:t>
      </w:r>
      <w:r>
        <w:rPr>
          <w:rFonts w:ascii="方正小标宋_GBK" w:eastAsia="方正小标宋_GBK" w:hint="eastAsia"/>
          <w:b w:val="0"/>
          <w:sz w:val="44"/>
        </w:rPr>
        <w:t>2024-0</w:t>
      </w:r>
      <w:r>
        <w:rPr>
          <w:rFonts w:ascii="方正小标宋_GBK" w:eastAsia="方正小标宋_GBK"/>
          <w:b w:val="0"/>
          <w:sz w:val="44"/>
        </w:rPr>
        <w:t>3</w:t>
      </w:r>
      <w:r>
        <w:rPr>
          <w:rFonts w:ascii="方正小标宋_GBK" w:eastAsia="方正小标宋_GBK" w:hint="eastAsia"/>
          <w:b w:val="0"/>
          <w:sz w:val="44"/>
        </w:rPr>
        <w:t>号土地征收成片开发方案》编制说明</w:t>
      </w:r>
    </w:p>
    <w:p w:rsidR="006F7111" w:rsidRDefault="006F7111">
      <w:pPr>
        <w:ind w:firstLine="560"/>
        <w:rPr>
          <w:rFonts w:eastAsia="宋体"/>
        </w:rPr>
      </w:pPr>
    </w:p>
    <w:p w:rsidR="006F7111" w:rsidRDefault="00644590">
      <w:pPr>
        <w:pStyle w:val="Style7"/>
        <w:spacing w:after="0" w:line="580" w:lineRule="exact"/>
        <w:ind w:leftChars="0" w:left="0" w:firstLine="640"/>
        <w:rPr>
          <w:rFonts w:eastAsia="仿宋_GB2312"/>
          <w:sz w:val="32"/>
          <w:szCs w:val="32"/>
        </w:rPr>
      </w:pPr>
      <w:r>
        <w:rPr>
          <w:rFonts w:eastAsia="仿宋_GB2312" w:hint="eastAsia"/>
          <w:sz w:val="32"/>
          <w:szCs w:val="32"/>
        </w:rPr>
        <w:t>为贯彻落实《中华人民共和国土地管理法》和自然资源部印发的《关于土地征收成片开发标准》（自然资规〔</w:t>
      </w:r>
      <w:r>
        <w:rPr>
          <w:rFonts w:eastAsia="仿宋_GB2312" w:hint="eastAsia"/>
          <w:sz w:val="32"/>
          <w:szCs w:val="32"/>
        </w:rPr>
        <w:t>202</w:t>
      </w:r>
      <w:r>
        <w:rPr>
          <w:rFonts w:eastAsia="仿宋_GB2312"/>
          <w:sz w:val="32"/>
          <w:szCs w:val="32"/>
        </w:rPr>
        <w:t>3</w:t>
      </w:r>
      <w:r>
        <w:rPr>
          <w:rFonts w:eastAsia="仿宋_GB2312" w:hint="eastAsia"/>
          <w:sz w:val="32"/>
          <w:szCs w:val="32"/>
        </w:rPr>
        <w:t>〕</w:t>
      </w:r>
      <w:r>
        <w:rPr>
          <w:rFonts w:eastAsia="仿宋_GB2312"/>
          <w:sz w:val="32"/>
          <w:szCs w:val="32"/>
        </w:rPr>
        <w:t>7</w:t>
      </w:r>
      <w:r>
        <w:rPr>
          <w:rFonts w:eastAsia="仿宋_GB2312" w:hint="eastAsia"/>
          <w:sz w:val="32"/>
          <w:szCs w:val="32"/>
        </w:rPr>
        <w:t>号）的有关要求，进一步促进依法依规管地用地，切实保障公众利益，提高土地保障能力，做好土地征收工作，吴中区按照文件要求</w:t>
      </w:r>
      <w:r>
        <w:rPr>
          <w:rFonts w:eastAsia="仿宋_GB2312"/>
          <w:sz w:val="32"/>
          <w:szCs w:val="32"/>
        </w:rPr>
        <w:t>组织编制</w:t>
      </w:r>
      <w:r>
        <w:rPr>
          <w:rFonts w:eastAsia="仿宋_GB2312" w:hint="eastAsia"/>
          <w:sz w:val="32"/>
          <w:szCs w:val="32"/>
        </w:rPr>
        <w:t>了</w:t>
      </w:r>
      <w:r>
        <w:rPr>
          <w:rFonts w:eastAsia="仿宋_GB2312"/>
          <w:sz w:val="32"/>
          <w:szCs w:val="32"/>
        </w:rPr>
        <w:t>《</w:t>
      </w:r>
      <w:r>
        <w:rPr>
          <w:rFonts w:eastAsia="仿宋_GB2312" w:hint="eastAsia"/>
          <w:sz w:val="32"/>
          <w:szCs w:val="32"/>
        </w:rPr>
        <w:t>吴中区</w:t>
      </w:r>
      <w:r>
        <w:rPr>
          <w:rFonts w:eastAsia="仿宋_GB2312" w:hint="eastAsia"/>
          <w:sz w:val="32"/>
          <w:szCs w:val="32"/>
        </w:rPr>
        <w:t>2024-0</w:t>
      </w:r>
      <w:r>
        <w:rPr>
          <w:rFonts w:eastAsia="仿宋_GB2312"/>
          <w:sz w:val="32"/>
          <w:szCs w:val="32"/>
        </w:rPr>
        <w:t>3</w:t>
      </w:r>
      <w:r>
        <w:rPr>
          <w:rFonts w:eastAsia="仿宋_GB2312" w:hint="eastAsia"/>
          <w:sz w:val="32"/>
          <w:szCs w:val="32"/>
        </w:rPr>
        <w:t>号土地征收成片开发方案</w:t>
      </w:r>
      <w:r>
        <w:rPr>
          <w:rFonts w:eastAsia="仿宋_GB2312"/>
          <w:sz w:val="32"/>
          <w:szCs w:val="32"/>
        </w:rPr>
        <w:t>》（以下简称《方案》），现将有关情况说明如下：</w:t>
      </w:r>
    </w:p>
    <w:p w:rsidR="006F7111" w:rsidRDefault="00644590">
      <w:pPr>
        <w:pStyle w:val="Style7"/>
        <w:spacing w:after="0" w:line="580" w:lineRule="exact"/>
        <w:ind w:leftChars="0" w:left="0" w:firstLine="640"/>
        <w:rPr>
          <w:rFonts w:ascii="黑体" w:eastAsia="黑体" w:hAnsi="黑体"/>
          <w:sz w:val="32"/>
          <w:szCs w:val="32"/>
        </w:rPr>
      </w:pPr>
      <w:r>
        <w:rPr>
          <w:rFonts w:ascii="黑体" w:eastAsia="黑体" w:hAnsi="黑体"/>
          <w:sz w:val="32"/>
          <w:szCs w:val="32"/>
        </w:rPr>
        <w:t>一、</w:t>
      </w:r>
      <w:r>
        <w:rPr>
          <w:rFonts w:ascii="黑体" w:eastAsia="黑体" w:hAnsi="黑体" w:hint="eastAsia"/>
          <w:sz w:val="32"/>
          <w:szCs w:val="32"/>
        </w:rPr>
        <w:t>编制</w:t>
      </w:r>
      <w:r>
        <w:rPr>
          <w:rFonts w:ascii="黑体" w:eastAsia="黑体" w:hAnsi="黑体"/>
          <w:sz w:val="32"/>
          <w:szCs w:val="32"/>
        </w:rPr>
        <w:t>必要性</w:t>
      </w:r>
    </w:p>
    <w:p w:rsidR="006F7111" w:rsidRDefault="00644590">
      <w:pPr>
        <w:pStyle w:val="Style7"/>
        <w:spacing w:after="0" w:line="580" w:lineRule="exact"/>
        <w:ind w:leftChars="0" w:left="0" w:firstLine="640"/>
        <w:rPr>
          <w:rFonts w:eastAsia="仿宋_GB2312"/>
          <w:sz w:val="32"/>
          <w:szCs w:val="32"/>
        </w:rPr>
      </w:pPr>
      <w:r>
        <w:rPr>
          <w:rFonts w:eastAsia="仿宋_GB2312" w:hint="eastAsia"/>
          <w:sz w:val="32"/>
          <w:szCs w:val="32"/>
        </w:rPr>
        <w:t>《方案》的编制，有利于统一规划、统一实施。为了达到综合开发、高效利用的目的，需要在一个相对成片的区域内，综合考虑各种业态，居住和配套，开发和保护，经济与文化，生产、生活和生态等多种需求，各方面统筹考虑，综合平衡，合理布局，统一规划，统一实施，这样就有必要编制成片开发方案统筹片区开发；</w:t>
      </w:r>
    </w:p>
    <w:p w:rsidR="006F7111" w:rsidRDefault="00644590">
      <w:pPr>
        <w:pStyle w:val="Style7"/>
        <w:spacing w:after="0" w:line="580" w:lineRule="exact"/>
        <w:ind w:leftChars="0" w:left="0" w:firstLine="640"/>
        <w:rPr>
          <w:rFonts w:eastAsia="仿宋_GB2312"/>
          <w:sz w:val="32"/>
          <w:szCs w:val="32"/>
        </w:rPr>
      </w:pPr>
      <w:r>
        <w:rPr>
          <w:rFonts w:eastAsia="仿宋_GB2312" w:hint="eastAsia"/>
          <w:sz w:val="32"/>
          <w:szCs w:val="32"/>
        </w:rPr>
        <w:t>《方案》的编制，是落实吴中区产业发展强区建设战略</w:t>
      </w:r>
      <w:r>
        <w:rPr>
          <w:rFonts w:eastAsia="仿宋_GB2312" w:hint="eastAsia"/>
          <w:sz w:val="32"/>
          <w:szCs w:val="32"/>
        </w:rPr>
        <w:t>的重要抓手。通过成片开发方案统一片区内的规划产业布局，为产业的发展起到组织调控的作用；</w:t>
      </w:r>
    </w:p>
    <w:p w:rsidR="006F7111" w:rsidRDefault="00644590">
      <w:pPr>
        <w:pStyle w:val="Style7"/>
        <w:spacing w:after="0" w:line="580" w:lineRule="exact"/>
        <w:ind w:leftChars="0" w:left="0" w:firstLine="640"/>
        <w:rPr>
          <w:rFonts w:eastAsia="仿宋_GB2312"/>
          <w:sz w:val="32"/>
          <w:szCs w:val="32"/>
        </w:rPr>
      </w:pPr>
      <w:r>
        <w:rPr>
          <w:rFonts w:eastAsia="仿宋_GB2312" w:hint="eastAsia"/>
          <w:sz w:val="32"/>
          <w:szCs w:val="32"/>
        </w:rPr>
        <w:t>《方案》的编制，也是提升城市基础设施服务能力的需要。方案中部分片区尚处在开发建设的阶段，道路交通、绿地系统等市政基础设施尚未实施完毕，整体功能配套尚待完</w:t>
      </w:r>
      <w:r>
        <w:rPr>
          <w:rFonts w:eastAsia="仿宋_GB2312" w:hint="eastAsia"/>
          <w:sz w:val="32"/>
          <w:szCs w:val="32"/>
        </w:rPr>
        <w:lastRenderedPageBreak/>
        <w:t>善，环境品质、片区形象仍需优化提升。本次以成片开发为引领，统筹空间布局和基础设施优化，完善全区市政基础设施的服务能力，推动公共教育</w:t>
      </w:r>
      <w:r>
        <w:rPr>
          <w:rFonts w:eastAsia="仿宋_GB2312" w:hint="eastAsia"/>
          <w:sz w:val="32"/>
          <w:szCs w:val="32"/>
        </w:rPr>
        <w:t>公共服务</w:t>
      </w:r>
      <w:bookmarkStart w:id="0" w:name="_GoBack"/>
      <w:bookmarkEnd w:id="0"/>
      <w:r>
        <w:rPr>
          <w:rFonts w:eastAsia="仿宋_GB2312" w:hint="eastAsia"/>
          <w:sz w:val="32"/>
          <w:szCs w:val="32"/>
        </w:rPr>
        <w:t>优质均衡发展，提升环境质量，改善投资环境，提升吴中全域的整体形象和城市竞争力。</w:t>
      </w:r>
    </w:p>
    <w:p w:rsidR="006F7111" w:rsidRDefault="00644590">
      <w:pPr>
        <w:pStyle w:val="Style7"/>
        <w:spacing w:after="0" w:line="580" w:lineRule="exact"/>
        <w:ind w:leftChars="0" w:left="0" w:firstLine="640"/>
        <w:rPr>
          <w:rFonts w:ascii="黑体" w:eastAsia="黑体" w:hAnsi="黑体"/>
          <w:sz w:val="32"/>
          <w:szCs w:val="32"/>
        </w:rPr>
      </w:pPr>
      <w:r>
        <w:rPr>
          <w:rFonts w:ascii="黑体" w:eastAsia="黑体" w:hAnsi="黑体"/>
          <w:sz w:val="32"/>
          <w:szCs w:val="32"/>
        </w:rPr>
        <w:t>二、符合规划情况</w:t>
      </w:r>
    </w:p>
    <w:p w:rsidR="006F7111" w:rsidRDefault="00644590">
      <w:pPr>
        <w:pStyle w:val="Style7"/>
        <w:spacing w:after="0" w:line="580" w:lineRule="exact"/>
        <w:ind w:leftChars="0" w:left="0" w:firstLine="643"/>
        <w:rPr>
          <w:rFonts w:eastAsia="仿宋_GB2312"/>
          <w:sz w:val="32"/>
          <w:szCs w:val="32"/>
        </w:rPr>
      </w:pPr>
      <w:r>
        <w:rPr>
          <w:rFonts w:eastAsia="仿宋_GB2312"/>
          <w:b/>
          <w:bCs/>
          <w:sz w:val="32"/>
          <w:szCs w:val="32"/>
        </w:rPr>
        <w:t>与国土空间规划的衔接。</w:t>
      </w:r>
      <w:r>
        <w:rPr>
          <w:rFonts w:eastAsia="仿宋_GB2312" w:hint="eastAsia"/>
          <w:sz w:val="32"/>
          <w:szCs w:val="32"/>
        </w:rPr>
        <w:t>《方案》涉及开</w:t>
      </w:r>
      <w:r>
        <w:rPr>
          <w:rFonts w:eastAsia="仿宋_GB2312" w:hint="eastAsia"/>
          <w:sz w:val="32"/>
          <w:szCs w:val="32"/>
        </w:rPr>
        <w:t>发片区全部位于“三区三线”中城镇开发边界内，不涉及永久基本农田，不涉及生态保护红线</w:t>
      </w:r>
      <w:r>
        <w:rPr>
          <w:rFonts w:eastAsia="仿宋_GB2312"/>
          <w:sz w:val="32"/>
          <w:szCs w:val="32"/>
        </w:rPr>
        <w:t>。</w:t>
      </w:r>
    </w:p>
    <w:p w:rsidR="006F7111" w:rsidRDefault="00644590">
      <w:pPr>
        <w:pStyle w:val="Style7"/>
        <w:spacing w:after="0" w:line="580" w:lineRule="exact"/>
        <w:ind w:leftChars="0" w:left="0" w:firstLine="643"/>
        <w:rPr>
          <w:rFonts w:eastAsia="仿宋_GB2312"/>
          <w:sz w:val="32"/>
          <w:szCs w:val="32"/>
        </w:rPr>
      </w:pPr>
      <w:r>
        <w:rPr>
          <w:rFonts w:eastAsia="仿宋_GB2312" w:hint="eastAsia"/>
          <w:b/>
          <w:bCs/>
          <w:sz w:val="32"/>
          <w:szCs w:val="32"/>
        </w:rPr>
        <w:t>与生态管控区域规划的衔接</w:t>
      </w:r>
      <w:r>
        <w:rPr>
          <w:rFonts w:eastAsia="仿宋_GB2312"/>
          <w:b/>
          <w:bCs/>
          <w:sz w:val="32"/>
          <w:szCs w:val="32"/>
        </w:rPr>
        <w:t>。</w:t>
      </w:r>
      <w:r>
        <w:rPr>
          <w:rFonts w:eastAsia="仿宋_GB2312" w:hint="eastAsia"/>
          <w:sz w:val="32"/>
          <w:szCs w:val="32"/>
        </w:rPr>
        <w:t>《方案》已经结合苏州市吴中区生态空间管控区域规划，开发片区不涉及《江苏省生态空间管控区域规划》所划定生态空间管控区域</w:t>
      </w:r>
      <w:r>
        <w:rPr>
          <w:rFonts w:eastAsia="仿宋_GB2312"/>
          <w:sz w:val="32"/>
          <w:szCs w:val="32"/>
        </w:rPr>
        <w:t>。</w:t>
      </w:r>
    </w:p>
    <w:p w:rsidR="006F7111" w:rsidRDefault="00644590">
      <w:pPr>
        <w:pStyle w:val="Style7"/>
        <w:spacing w:after="0" w:line="580" w:lineRule="exact"/>
        <w:ind w:leftChars="0" w:left="0" w:firstLine="643"/>
        <w:rPr>
          <w:rFonts w:eastAsia="仿宋_GB2312"/>
          <w:sz w:val="32"/>
          <w:szCs w:val="32"/>
        </w:rPr>
      </w:pPr>
      <w:r>
        <w:rPr>
          <w:rFonts w:eastAsia="仿宋_GB2312" w:hint="eastAsia"/>
          <w:b/>
          <w:bCs/>
          <w:sz w:val="32"/>
          <w:szCs w:val="32"/>
        </w:rPr>
        <w:t>与“十四五”国民经济和社会发展规划及计划衔接</w:t>
      </w:r>
      <w:r>
        <w:rPr>
          <w:rFonts w:eastAsia="仿宋_GB2312"/>
          <w:b/>
          <w:bCs/>
          <w:sz w:val="32"/>
          <w:szCs w:val="32"/>
        </w:rPr>
        <w:t>。</w:t>
      </w:r>
      <w:r>
        <w:rPr>
          <w:rFonts w:eastAsia="仿宋_GB2312" w:hint="eastAsia"/>
          <w:sz w:val="32"/>
          <w:szCs w:val="32"/>
        </w:rPr>
        <w:t>《方案》的实施可加快推进苏州市吴中区公共服务设施配套，保障重点发展项目的用地需要，已纳入苏州市吴中区</w:t>
      </w:r>
      <w:r>
        <w:rPr>
          <w:rFonts w:eastAsia="仿宋_GB2312" w:hint="eastAsia"/>
          <w:sz w:val="32"/>
          <w:szCs w:val="32"/>
        </w:rPr>
        <w:t>2023</w:t>
      </w:r>
      <w:r>
        <w:rPr>
          <w:rFonts w:eastAsia="仿宋_GB2312" w:hint="eastAsia"/>
          <w:sz w:val="32"/>
          <w:szCs w:val="32"/>
        </w:rPr>
        <w:t>年度国民经济和社会发展年度计划。</w:t>
      </w:r>
    </w:p>
    <w:p w:rsidR="006F7111" w:rsidRDefault="00644590">
      <w:pPr>
        <w:pStyle w:val="Style7"/>
        <w:spacing w:after="0" w:line="580" w:lineRule="exact"/>
        <w:ind w:leftChars="0" w:left="0" w:firstLine="643"/>
        <w:rPr>
          <w:rFonts w:eastAsia="仿宋_GB2312"/>
          <w:sz w:val="32"/>
          <w:szCs w:val="32"/>
        </w:rPr>
      </w:pPr>
      <w:r>
        <w:rPr>
          <w:rFonts w:eastAsia="仿宋_GB2312" w:hint="eastAsia"/>
          <w:b/>
          <w:bCs/>
          <w:sz w:val="32"/>
          <w:szCs w:val="32"/>
        </w:rPr>
        <w:t>与骨干河流、重要湖泊衔接</w:t>
      </w:r>
      <w:r>
        <w:rPr>
          <w:rFonts w:eastAsia="仿宋_GB2312"/>
          <w:b/>
          <w:bCs/>
          <w:sz w:val="32"/>
          <w:szCs w:val="32"/>
        </w:rPr>
        <w:t>。</w:t>
      </w:r>
      <w:r>
        <w:rPr>
          <w:rFonts w:eastAsia="仿宋_GB2312" w:hint="eastAsia"/>
          <w:sz w:val="32"/>
          <w:szCs w:val="32"/>
        </w:rPr>
        <w:t>《方案》与《江苏省骨干河道名录（</w:t>
      </w:r>
      <w:r>
        <w:rPr>
          <w:rFonts w:eastAsia="仿宋_GB2312" w:hint="eastAsia"/>
          <w:sz w:val="32"/>
          <w:szCs w:val="32"/>
        </w:rPr>
        <w:t>2018</w:t>
      </w:r>
      <w:r>
        <w:rPr>
          <w:rFonts w:eastAsia="仿宋_GB2312" w:hint="eastAsia"/>
          <w:sz w:val="32"/>
          <w:szCs w:val="32"/>
        </w:rPr>
        <w:t>年修订）》中的江苏省</w:t>
      </w:r>
      <w:r>
        <w:rPr>
          <w:rFonts w:eastAsia="仿宋_GB2312" w:hint="eastAsia"/>
          <w:sz w:val="32"/>
          <w:szCs w:val="32"/>
        </w:rPr>
        <w:t>723</w:t>
      </w:r>
      <w:r>
        <w:rPr>
          <w:rFonts w:eastAsia="仿宋_GB2312" w:hint="eastAsia"/>
          <w:sz w:val="32"/>
          <w:szCs w:val="32"/>
        </w:rPr>
        <w:t>条骨干河流、《江苏省湖泊保护名录（</w:t>
      </w:r>
      <w:r>
        <w:rPr>
          <w:rFonts w:eastAsia="仿宋_GB2312" w:hint="eastAsia"/>
          <w:sz w:val="32"/>
          <w:szCs w:val="32"/>
        </w:rPr>
        <w:t>2021</w:t>
      </w:r>
      <w:r>
        <w:rPr>
          <w:rFonts w:eastAsia="仿宋_GB2312" w:hint="eastAsia"/>
          <w:sz w:val="32"/>
          <w:szCs w:val="32"/>
        </w:rPr>
        <w:t>年修编）》中的</w:t>
      </w:r>
      <w:r>
        <w:rPr>
          <w:rFonts w:eastAsia="仿宋_GB2312" w:hint="eastAsia"/>
          <w:sz w:val="32"/>
          <w:szCs w:val="32"/>
        </w:rPr>
        <w:t>154</w:t>
      </w:r>
      <w:r>
        <w:rPr>
          <w:rFonts w:eastAsia="仿宋_GB2312" w:hint="eastAsia"/>
          <w:sz w:val="32"/>
          <w:szCs w:val="32"/>
        </w:rPr>
        <w:t>个名录湖泊进行了衔接，所有片区均不存在占用骨干河流及名录湖泊的情况。</w:t>
      </w:r>
    </w:p>
    <w:p w:rsidR="006F7111" w:rsidRDefault="00644590">
      <w:pPr>
        <w:pStyle w:val="Style7"/>
        <w:spacing w:after="0" w:line="580" w:lineRule="exact"/>
        <w:ind w:leftChars="0" w:left="0" w:firstLine="643"/>
        <w:rPr>
          <w:rFonts w:eastAsia="仿宋_GB2312"/>
          <w:sz w:val="32"/>
          <w:szCs w:val="32"/>
        </w:rPr>
      </w:pPr>
      <w:r>
        <w:rPr>
          <w:rFonts w:eastAsia="仿宋_GB2312" w:hint="eastAsia"/>
          <w:b/>
          <w:bCs/>
          <w:sz w:val="32"/>
          <w:szCs w:val="32"/>
        </w:rPr>
        <w:t>与高标准农田建设成果的衔接</w:t>
      </w:r>
      <w:r>
        <w:rPr>
          <w:rFonts w:eastAsia="仿宋_GB2312"/>
          <w:b/>
          <w:bCs/>
          <w:sz w:val="32"/>
          <w:szCs w:val="32"/>
        </w:rPr>
        <w:t>。</w:t>
      </w:r>
      <w:r>
        <w:rPr>
          <w:rFonts w:eastAsia="仿宋_GB2312" w:hint="eastAsia"/>
          <w:sz w:val="32"/>
          <w:szCs w:val="32"/>
        </w:rPr>
        <w:t>依据苏州市吴中区“十二五”以来高标准农田建设评估工作成果，《方案》开发片区均不涉及高标准农田。</w:t>
      </w:r>
    </w:p>
    <w:p w:rsidR="006F7111" w:rsidRDefault="00644590">
      <w:pPr>
        <w:pStyle w:val="Style7"/>
        <w:spacing w:after="0" w:line="580" w:lineRule="exact"/>
        <w:ind w:leftChars="0" w:left="0" w:firstLine="643"/>
        <w:rPr>
          <w:rFonts w:eastAsia="仿宋_GB2312"/>
          <w:sz w:val="32"/>
          <w:szCs w:val="32"/>
        </w:rPr>
      </w:pPr>
      <w:r>
        <w:rPr>
          <w:rFonts w:eastAsia="仿宋_GB2312" w:hint="eastAsia"/>
          <w:b/>
          <w:bCs/>
          <w:sz w:val="32"/>
          <w:szCs w:val="32"/>
        </w:rPr>
        <w:lastRenderedPageBreak/>
        <w:t>与粮食生产功能区和重要农产品生产保护区衔接</w:t>
      </w:r>
      <w:r>
        <w:rPr>
          <w:rFonts w:eastAsia="仿宋_GB2312"/>
          <w:b/>
          <w:bCs/>
          <w:sz w:val="32"/>
          <w:szCs w:val="32"/>
        </w:rPr>
        <w:t>。</w:t>
      </w:r>
      <w:r>
        <w:rPr>
          <w:rFonts w:eastAsia="仿宋_GB2312" w:hint="eastAsia"/>
          <w:sz w:val="32"/>
          <w:szCs w:val="32"/>
        </w:rPr>
        <w:t>《方案》与苏州市吴中区粮食生产功能区和重要农产品生产保护区划定成果进行了充分衔接，不涉及苏州市吴中区粮食生产功能区和重要农产品生产保护区划定成果。</w:t>
      </w:r>
    </w:p>
    <w:p w:rsidR="006F7111" w:rsidRDefault="00644590">
      <w:pPr>
        <w:pStyle w:val="Style7"/>
        <w:spacing w:after="0" w:line="580" w:lineRule="exact"/>
        <w:ind w:leftChars="0" w:left="0" w:firstLine="643"/>
        <w:rPr>
          <w:rFonts w:eastAsia="仿宋_GB2312"/>
          <w:sz w:val="32"/>
          <w:szCs w:val="32"/>
        </w:rPr>
      </w:pPr>
      <w:r>
        <w:rPr>
          <w:rFonts w:eastAsia="仿宋_GB2312" w:hint="eastAsia"/>
          <w:b/>
          <w:bCs/>
          <w:sz w:val="32"/>
          <w:szCs w:val="32"/>
        </w:rPr>
        <w:t>与其他相关部门规划成果衔接</w:t>
      </w:r>
      <w:r>
        <w:rPr>
          <w:rFonts w:eastAsia="仿宋_GB2312"/>
          <w:b/>
          <w:bCs/>
          <w:sz w:val="32"/>
          <w:szCs w:val="32"/>
        </w:rPr>
        <w:t>。</w:t>
      </w:r>
      <w:r>
        <w:rPr>
          <w:rFonts w:eastAsia="仿宋_GB2312" w:hint="eastAsia"/>
          <w:sz w:val="32"/>
          <w:szCs w:val="32"/>
        </w:rPr>
        <w:t>《方案》与其他相关部门的专项规划成果进行了充分衔接，在土地征收成片开发实施过程中加强和综合交通规划的衔接。在土地征收成片开发实施过程中，依法办理使用林地手续。本次成片开发方案不涉及占用保护湿地以及湿地公园。</w:t>
      </w:r>
    </w:p>
    <w:p w:rsidR="006F7111" w:rsidRDefault="00644590">
      <w:pPr>
        <w:pStyle w:val="Style7"/>
        <w:spacing w:after="0" w:line="580" w:lineRule="exact"/>
        <w:ind w:leftChars="0" w:left="0" w:firstLine="640"/>
        <w:rPr>
          <w:rFonts w:ascii="黑体" w:eastAsia="黑体" w:hAnsi="黑体"/>
          <w:sz w:val="32"/>
          <w:szCs w:val="32"/>
        </w:rPr>
      </w:pPr>
      <w:r>
        <w:rPr>
          <w:rFonts w:ascii="黑体" w:eastAsia="黑体" w:hAnsi="黑体"/>
          <w:sz w:val="32"/>
          <w:szCs w:val="32"/>
        </w:rPr>
        <w:t>三、主要内容</w:t>
      </w:r>
    </w:p>
    <w:p w:rsidR="006F7111" w:rsidRDefault="00644590">
      <w:pPr>
        <w:pStyle w:val="Style7"/>
        <w:spacing w:after="0" w:line="580" w:lineRule="exact"/>
        <w:ind w:leftChars="0" w:left="0" w:firstLine="643"/>
        <w:rPr>
          <w:rFonts w:eastAsia="仿宋_GB2312"/>
          <w:b/>
          <w:bCs/>
          <w:sz w:val="32"/>
          <w:szCs w:val="32"/>
        </w:rPr>
      </w:pPr>
      <w:r>
        <w:rPr>
          <w:rFonts w:eastAsia="仿宋_GB2312" w:hint="eastAsia"/>
          <w:b/>
          <w:bCs/>
          <w:sz w:val="32"/>
          <w:szCs w:val="32"/>
        </w:rPr>
        <w:t>（一）片区基本情况</w:t>
      </w:r>
    </w:p>
    <w:p w:rsidR="006F7111" w:rsidRDefault="00644590">
      <w:pPr>
        <w:pStyle w:val="Style7"/>
        <w:spacing w:after="0" w:line="580" w:lineRule="exact"/>
        <w:ind w:leftChars="0" w:left="0" w:firstLine="640"/>
        <w:rPr>
          <w:rFonts w:eastAsia="仿宋_GB2312"/>
          <w:sz w:val="32"/>
          <w:szCs w:val="32"/>
        </w:rPr>
      </w:pPr>
      <w:r>
        <w:rPr>
          <w:rFonts w:eastAsia="仿宋_GB2312" w:hint="eastAsia"/>
          <w:sz w:val="32"/>
          <w:szCs w:val="32"/>
        </w:rPr>
        <w:t>《吴中区</w:t>
      </w:r>
      <w:r>
        <w:rPr>
          <w:rFonts w:eastAsia="仿宋_GB2312" w:hint="eastAsia"/>
          <w:sz w:val="32"/>
          <w:szCs w:val="32"/>
        </w:rPr>
        <w:t>2024-0</w:t>
      </w:r>
      <w:r>
        <w:rPr>
          <w:rFonts w:eastAsia="仿宋_GB2312"/>
          <w:sz w:val="32"/>
          <w:szCs w:val="32"/>
        </w:rPr>
        <w:t>3</w:t>
      </w:r>
      <w:r>
        <w:rPr>
          <w:rFonts w:eastAsia="仿宋_GB2312" w:hint="eastAsia"/>
          <w:sz w:val="32"/>
          <w:szCs w:val="32"/>
        </w:rPr>
        <w:t>号土地征收成片开发方案》共包括</w:t>
      </w:r>
      <w:r>
        <w:rPr>
          <w:rFonts w:eastAsia="仿宋_GB2312"/>
          <w:sz w:val="32"/>
          <w:szCs w:val="32"/>
        </w:rPr>
        <w:t>2</w:t>
      </w:r>
      <w:r>
        <w:rPr>
          <w:rFonts w:eastAsia="仿宋_GB2312" w:hint="eastAsia"/>
          <w:sz w:val="32"/>
          <w:szCs w:val="32"/>
        </w:rPr>
        <w:t>个片区，均位于太湖新城。</w:t>
      </w:r>
    </w:p>
    <w:p w:rsidR="006F7111" w:rsidRDefault="00644590">
      <w:pPr>
        <w:pStyle w:val="Style7"/>
        <w:spacing w:after="0" w:line="580" w:lineRule="exact"/>
        <w:ind w:leftChars="0" w:left="0" w:firstLine="643"/>
        <w:rPr>
          <w:rFonts w:eastAsia="仿宋_GB2312"/>
          <w:b/>
          <w:bCs/>
          <w:sz w:val="32"/>
          <w:szCs w:val="32"/>
        </w:rPr>
      </w:pPr>
      <w:r>
        <w:rPr>
          <w:rFonts w:eastAsia="仿宋_GB2312"/>
          <w:b/>
          <w:bCs/>
          <w:sz w:val="32"/>
          <w:szCs w:val="32"/>
        </w:rPr>
        <w:t>（二）</w:t>
      </w:r>
      <w:r>
        <w:rPr>
          <w:rFonts w:eastAsia="仿宋_GB2312" w:hint="eastAsia"/>
          <w:b/>
          <w:bCs/>
          <w:sz w:val="32"/>
          <w:szCs w:val="32"/>
        </w:rPr>
        <w:t>主要用途和实现的功能</w:t>
      </w:r>
    </w:p>
    <w:p w:rsidR="006F7111" w:rsidRDefault="00644590">
      <w:pPr>
        <w:widowControl/>
        <w:spacing w:line="580" w:lineRule="exact"/>
        <w:ind w:firstLine="640"/>
        <w:rPr>
          <w:rFonts w:eastAsia="仿宋_GB2312"/>
          <w:sz w:val="32"/>
          <w:szCs w:val="32"/>
          <w:lang/>
        </w:rPr>
      </w:pPr>
      <w:r>
        <w:rPr>
          <w:rFonts w:eastAsia="仿宋_GB2312" w:hint="eastAsia"/>
          <w:sz w:val="32"/>
          <w:szCs w:val="32"/>
          <w:lang/>
        </w:rPr>
        <w:t>依据现行城市、城镇总体规划及控制性详细规划，片区主要土地用途为：居住用地、交通运输用地、工矿用地、绿地与开敞空间用地等。通过片区的开</w:t>
      </w:r>
      <w:r>
        <w:rPr>
          <w:rFonts w:eastAsia="仿宋_GB2312" w:hint="eastAsia"/>
          <w:sz w:val="32"/>
          <w:szCs w:val="32"/>
          <w:lang/>
        </w:rPr>
        <w:t>发实现生产空间更加集约高效、生活空间更加舒适宜人。</w:t>
      </w:r>
    </w:p>
    <w:p w:rsidR="006F7111" w:rsidRDefault="00644590">
      <w:pPr>
        <w:pStyle w:val="Style7"/>
        <w:spacing w:after="0" w:line="580" w:lineRule="exact"/>
        <w:ind w:leftChars="0" w:left="0" w:firstLine="643"/>
        <w:rPr>
          <w:rFonts w:eastAsia="仿宋_GB2312"/>
          <w:b/>
          <w:bCs/>
          <w:sz w:val="32"/>
          <w:szCs w:val="32"/>
        </w:rPr>
      </w:pPr>
      <w:r>
        <w:rPr>
          <w:rFonts w:eastAsia="仿宋_GB2312"/>
          <w:b/>
          <w:bCs/>
          <w:sz w:val="32"/>
          <w:szCs w:val="32"/>
        </w:rPr>
        <w:t>（三）</w:t>
      </w:r>
      <w:r>
        <w:rPr>
          <w:rFonts w:eastAsia="仿宋_GB2312" w:hint="eastAsia"/>
          <w:b/>
          <w:bCs/>
          <w:sz w:val="32"/>
          <w:szCs w:val="32"/>
        </w:rPr>
        <w:t>公益性用地</w:t>
      </w:r>
    </w:p>
    <w:p w:rsidR="006F7111" w:rsidRDefault="00644590">
      <w:pPr>
        <w:widowControl/>
        <w:spacing w:line="580" w:lineRule="exact"/>
        <w:ind w:firstLine="640"/>
        <w:rPr>
          <w:rFonts w:eastAsia="仿宋_GB2312"/>
          <w:sz w:val="32"/>
          <w:szCs w:val="32"/>
          <w:lang/>
        </w:rPr>
      </w:pPr>
      <w:r>
        <w:rPr>
          <w:rFonts w:eastAsia="仿宋_GB2312" w:hint="eastAsia"/>
          <w:sz w:val="32"/>
          <w:szCs w:val="32"/>
          <w:lang/>
        </w:rPr>
        <w:t>片区内公益性用地主要为交通运输用地、绿地与开敞空间用地和公共管理与公共服务用地，</w:t>
      </w:r>
      <w:r>
        <w:rPr>
          <w:rFonts w:eastAsia="仿宋_GB2312" w:hint="eastAsia"/>
          <w:sz w:val="32"/>
          <w:szCs w:val="32"/>
          <w:lang/>
        </w:rPr>
        <w:t>0</w:t>
      </w:r>
      <w:r>
        <w:rPr>
          <w:rFonts w:eastAsia="仿宋_GB2312"/>
          <w:sz w:val="32"/>
          <w:szCs w:val="32"/>
          <w:lang/>
        </w:rPr>
        <w:t>1</w:t>
      </w:r>
      <w:r>
        <w:rPr>
          <w:rFonts w:eastAsia="仿宋_GB2312" w:hint="eastAsia"/>
          <w:sz w:val="32"/>
          <w:szCs w:val="32"/>
          <w:lang/>
        </w:rPr>
        <w:t>号片区属于工业主导型片区，片区内公益性用地占比在</w:t>
      </w:r>
      <w:r>
        <w:rPr>
          <w:rFonts w:eastAsia="仿宋_GB2312" w:hint="eastAsia"/>
          <w:sz w:val="32"/>
          <w:szCs w:val="32"/>
          <w:lang/>
        </w:rPr>
        <w:t>25%</w:t>
      </w:r>
      <w:r>
        <w:rPr>
          <w:rFonts w:eastAsia="仿宋_GB2312" w:hint="eastAsia"/>
          <w:sz w:val="32"/>
          <w:szCs w:val="32"/>
          <w:lang/>
        </w:rPr>
        <w:t>以上，工矿及仓储用地占比在</w:t>
      </w:r>
      <w:r>
        <w:rPr>
          <w:rFonts w:eastAsia="仿宋_GB2312" w:hint="eastAsia"/>
          <w:sz w:val="32"/>
          <w:szCs w:val="32"/>
          <w:lang/>
        </w:rPr>
        <w:t>60%</w:t>
      </w:r>
      <w:r>
        <w:rPr>
          <w:rFonts w:eastAsia="仿宋_GB2312" w:hint="eastAsia"/>
          <w:sz w:val="32"/>
          <w:szCs w:val="32"/>
          <w:lang/>
        </w:rPr>
        <w:t>以上，满足《江苏省自然资源厅关于加快推进土地征收成片开发方案编制工作的通知》（苏自然资发〔</w:t>
      </w:r>
      <w:r>
        <w:rPr>
          <w:rFonts w:eastAsia="仿宋_GB2312" w:hint="eastAsia"/>
          <w:sz w:val="32"/>
          <w:szCs w:val="32"/>
          <w:lang/>
        </w:rPr>
        <w:t>2021</w:t>
      </w:r>
      <w:r>
        <w:rPr>
          <w:rFonts w:eastAsia="仿宋_GB2312" w:hint="eastAsia"/>
          <w:sz w:val="32"/>
          <w:szCs w:val="32"/>
          <w:lang/>
        </w:rPr>
        <w:t>〕</w:t>
      </w:r>
      <w:r>
        <w:rPr>
          <w:rFonts w:eastAsia="仿宋_GB2312" w:hint="eastAsia"/>
          <w:sz w:val="32"/>
          <w:szCs w:val="32"/>
          <w:lang/>
        </w:rPr>
        <w:lastRenderedPageBreak/>
        <w:t>138</w:t>
      </w:r>
      <w:r>
        <w:rPr>
          <w:rFonts w:eastAsia="仿宋_GB2312" w:hint="eastAsia"/>
          <w:sz w:val="32"/>
          <w:szCs w:val="32"/>
          <w:lang/>
        </w:rPr>
        <w:t>号）的相关规定。</w:t>
      </w:r>
      <w:r>
        <w:rPr>
          <w:rFonts w:eastAsia="仿宋_GB2312" w:hint="eastAsia"/>
          <w:sz w:val="32"/>
          <w:szCs w:val="32"/>
          <w:lang/>
        </w:rPr>
        <w:t>0</w:t>
      </w:r>
      <w:r>
        <w:rPr>
          <w:rFonts w:eastAsia="仿宋_GB2312"/>
          <w:sz w:val="32"/>
          <w:szCs w:val="32"/>
          <w:lang/>
        </w:rPr>
        <w:t>2</w:t>
      </w:r>
      <w:r>
        <w:rPr>
          <w:rFonts w:eastAsia="仿宋_GB2312" w:hint="eastAsia"/>
          <w:sz w:val="32"/>
          <w:szCs w:val="32"/>
          <w:lang/>
        </w:rPr>
        <w:t>号片区属于城市新区及产城融合类片区，片区内公益性用地占比在</w:t>
      </w:r>
      <w:r>
        <w:rPr>
          <w:rFonts w:eastAsia="仿宋_GB2312" w:hint="eastAsia"/>
          <w:sz w:val="32"/>
          <w:szCs w:val="32"/>
          <w:lang/>
        </w:rPr>
        <w:t>40%</w:t>
      </w:r>
      <w:r>
        <w:rPr>
          <w:rFonts w:eastAsia="仿宋_GB2312" w:hint="eastAsia"/>
          <w:sz w:val="32"/>
          <w:szCs w:val="32"/>
          <w:lang/>
        </w:rPr>
        <w:t>以上，满足《自然资源部关于印发</w:t>
      </w:r>
      <w:r>
        <w:rPr>
          <w:rFonts w:eastAsia="仿宋_GB2312" w:hint="eastAsia"/>
          <w:sz w:val="32"/>
          <w:szCs w:val="32"/>
          <w:lang/>
        </w:rPr>
        <w:t>&lt;</w:t>
      </w:r>
      <w:r>
        <w:rPr>
          <w:rFonts w:eastAsia="仿宋_GB2312" w:hint="eastAsia"/>
          <w:sz w:val="32"/>
          <w:szCs w:val="32"/>
          <w:lang/>
        </w:rPr>
        <w:t>土地征收成片开发标准</w:t>
      </w:r>
      <w:r>
        <w:rPr>
          <w:rFonts w:eastAsia="仿宋_GB2312" w:hint="eastAsia"/>
          <w:sz w:val="32"/>
          <w:szCs w:val="32"/>
          <w:lang/>
        </w:rPr>
        <w:t>&gt;</w:t>
      </w:r>
      <w:r>
        <w:rPr>
          <w:rFonts w:eastAsia="仿宋_GB2312" w:hint="eastAsia"/>
          <w:sz w:val="32"/>
          <w:szCs w:val="32"/>
          <w:lang/>
        </w:rPr>
        <w:t>的通知》（自然资规〔</w:t>
      </w:r>
      <w:r>
        <w:rPr>
          <w:rFonts w:eastAsia="仿宋_GB2312" w:hint="eastAsia"/>
          <w:sz w:val="32"/>
          <w:szCs w:val="32"/>
          <w:lang/>
        </w:rPr>
        <w:t>2023</w:t>
      </w:r>
      <w:r>
        <w:rPr>
          <w:rFonts w:eastAsia="仿宋_GB2312" w:hint="eastAsia"/>
          <w:sz w:val="32"/>
          <w:szCs w:val="32"/>
          <w:lang/>
        </w:rPr>
        <w:t>〕</w:t>
      </w:r>
      <w:r>
        <w:rPr>
          <w:rFonts w:eastAsia="仿宋_GB2312" w:hint="eastAsia"/>
          <w:sz w:val="32"/>
          <w:szCs w:val="32"/>
          <w:lang/>
        </w:rPr>
        <w:t>7</w:t>
      </w:r>
      <w:r>
        <w:rPr>
          <w:rFonts w:eastAsia="仿宋_GB2312" w:hint="eastAsia"/>
          <w:sz w:val="32"/>
          <w:szCs w:val="32"/>
          <w:lang/>
        </w:rPr>
        <w:t>号）的相关规定。</w:t>
      </w:r>
    </w:p>
    <w:p w:rsidR="006F7111" w:rsidRDefault="00644590">
      <w:pPr>
        <w:spacing w:line="580" w:lineRule="exact"/>
        <w:ind w:firstLine="643"/>
        <w:rPr>
          <w:rFonts w:eastAsia="仿宋_GB2312"/>
          <w:b/>
          <w:bCs/>
          <w:sz w:val="32"/>
          <w:szCs w:val="32"/>
        </w:rPr>
      </w:pPr>
      <w:r>
        <w:rPr>
          <w:rFonts w:eastAsia="仿宋_GB2312"/>
          <w:b/>
          <w:bCs/>
          <w:sz w:val="32"/>
          <w:szCs w:val="32"/>
        </w:rPr>
        <w:t>（四）</w:t>
      </w:r>
      <w:r>
        <w:rPr>
          <w:rFonts w:eastAsia="仿宋_GB2312" w:hint="eastAsia"/>
          <w:b/>
          <w:bCs/>
          <w:sz w:val="32"/>
          <w:szCs w:val="32"/>
        </w:rPr>
        <w:t>开发时序和实施计划</w:t>
      </w:r>
    </w:p>
    <w:p w:rsidR="006F7111" w:rsidRDefault="00644590">
      <w:pPr>
        <w:widowControl/>
        <w:spacing w:line="580" w:lineRule="exact"/>
        <w:ind w:firstLine="640"/>
        <w:rPr>
          <w:rFonts w:eastAsia="仿宋_GB2312"/>
          <w:sz w:val="32"/>
          <w:szCs w:val="32"/>
          <w:lang/>
        </w:rPr>
      </w:pPr>
      <w:r>
        <w:rPr>
          <w:rFonts w:eastAsia="仿宋_GB2312" w:hint="eastAsia"/>
          <w:sz w:val="32"/>
          <w:szCs w:val="32"/>
          <w:lang/>
        </w:rPr>
        <w:t>《方案》计划在</w:t>
      </w:r>
      <w:r>
        <w:rPr>
          <w:rFonts w:eastAsia="仿宋_GB2312" w:hint="eastAsia"/>
          <w:sz w:val="32"/>
          <w:szCs w:val="32"/>
          <w:lang/>
        </w:rPr>
        <w:t>202</w:t>
      </w:r>
      <w:r>
        <w:rPr>
          <w:rFonts w:eastAsia="仿宋_GB2312"/>
          <w:sz w:val="32"/>
          <w:szCs w:val="32"/>
          <w:lang/>
        </w:rPr>
        <w:t>4</w:t>
      </w:r>
      <w:r>
        <w:rPr>
          <w:rFonts w:eastAsia="仿宋_GB2312" w:hint="eastAsia"/>
          <w:sz w:val="32"/>
          <w:szCs w:val="32"/>
          <w:lang/>
        </w:rPr>
        <w:t>至</w:t>
      </w:r>
      <w:r>
        <w:rPr>
          <w:rFonts w:eastAsia="仿宋_GB2312" w:hint="eastAsia"/>
          <w:sz w:val="32"/>
          <w:szCs w:val="32"/>
          <w:lang/>
        </w:rPr>
        <w:t>202</w:t>
      </w:r>
      <w:r>
        <w:rPr>
          <w:rFonts w:eastAsia="仿宋_GB2312"/>
          <w:sz w:val="32"/>
          <w:szCs w:val="32"/>
          <w:lang/>
        </w:rPr>
        <w:t>9</w:t>
      </w:r>
      <w:r>
        <w:rPr>
          <w:rFonts w:eastAsia="仿宋_GB2312" w:hint="eastAsia"/>
          <w:sz w:val="32"/>
          <w:szCs w:val="32"/>
          <w:lang/>
        </w:rPr>
        <w:t>年分批次启动土地征收、基础设施配套建设、土地供应、项目建设等工作。</w:t>
      </w:r>
    </w:p>
    <w:p w:rsidR="006F7111" w:rsidRDefault="00644590">
      <w:pPr>
        <w:pStyle w:val="Style7"/>
        <w:spacing w:after="0" w:line="580" w:lineRule="exact"/>
        <w:ind w:leftChars="0" w:left="0" w:firstLine="640"/>
        <w:rPr>
          <w:rFonts w:ascii="黑体" w:eastAsia="黑体" w:hAnsi="黑体"/>
          <w:sz w:val="32"/>
          <w:szCs w:val="32"/>
        </w:rPr>
      </w:pPr>
      <w:r>
        <w:rPr>
          <w:rFonts w:ascii="黑体" w:eastAsia="黑体" w:hAnsi="黑体"/>
          <w:sz w:val="32"/>
          <w:szCs w:val="32"/>
        </w:rPr>
        <w:t>四、</w:t>
      </w:r>
      <w:r>
        <w:rPr>
          <w:rFonts w:ascii="黑体" w:eastAsia="黑体" w:hAnsi="黑体" w:hint="eastAsia"/>
          <w:sz w:val="32"/>
          <w:szCs w:val="32"/>
        </w:rPr>
        <w:t>被征地群众安置补偿、群众利益保障</w:t>
      </w:r>
    </w:p>
    <w:p w:rsidR="006F7111" w:rsidRDefault="00644590">
      <w:pPr>
        <w:pStyle w:val="Style7"/>
        <w:spacing w:line="580" w:lineRule="exact"/>
        <w:ind w:leftChars="0" w:left="0" w:firstLine="640"/>
        <w:rPr>
          <w:rFonts w:eastAsia="仿宋_GB2312"/>
          <w:sz w:val="32"/>
          <w:szCs w:val="32"/>
        </w:rPr>
      </w:pPr>
      <w:r>
        <w:rPr>
          <w:rFonts w:eastAsia="仿宋_GB2312" w:hint="eastAsia"/>
          <w:sz w:val="32"/>
          <w:szCs w:val="32"/>
        </w:rPr>
        <w:t>依法征收开发片区内农民集体所有土地，加强财政保障力度，确保足额支付征地补偿费用，确保被征地农民原有生活水平不降低，长远生计有保障。</w:t>
      </w:r>
    </w:p>
    <w:p w:rsidR="006F7111" w:rsidRDefault="00644590">
      <w:pPr>
        <w:pStyle w:val="Style7"/>
        <w:spacing w:after="0" w:line="580" w:lineRule="exact"/>
        <w:ind w:leftChars="0" w:left="0" w:firstLine="640"/>
        <w:rPr>
          <w:rFonts w:eastAsia="仿宋_GB2312"/>
          <w:sz w:val="32"/>
          <w:szCs w:val="32"/>
        </w:rPr>
      </w:pPr>
      <w:r>
        <w:rPr>
          <w:rFonts w:ascii="黑体" w:eastAsia="黑体" w:hAnsi="黑体"/>
          <w:sz w:val="32"/>
          <w:szCs w:val="32"/>
        </w:rPr>
        <w:t>五、《方案》</w:t>
      </w:r>
      <w:r>
        <w:rPr>
          <w:rFonts w:ascii="黑体" w:eastAsia="黑体" w:hAnsi="黑体" w:hint="eastAsia"/>
          <w:sz w:val="32"/>
          <w:szCs w:val="32"/>
        </w:rPr>
        <w:t>效益分析</w:t>
      </w:r>
    </w:p>
    <w:p w:rsidR="006F7111" w:rsidRDefault="00644590">
      <w:pPr>
        <w:pStyle w:val="Style7"/>
        <w:spacing w:after="0" w:line="580" w:lineRule="exact"/>
        <w:ind w:leftChars="0" w:left="0" w:firstLine="643"/>
        <w:rPr>
          <w:rFonts w:eastAsia="仿宋_GB2312"/>
          <w:sz w:val="32"/>
          <w:szCs w:val="32"/>
        </w:rPr>
      </w:pPr>
      <w:r>
        <w:rPr>
          <w:rFonts w:eastAsia="仿宋_GB2312" w:hint="eastAsia"/>
          <w:b/>
          <w:sz w:val="32"/>
          <w:szCs w:val="32"/>
        </w:rPr>
        <w:t>经济效益</w:t>
      </w:r>
      <w:r>
        <w:rPr>
          <w:rFonts w:eastAsia="仿宋_GB2312" w:hint="eastAsia"/>
          <w:sz w:val="32"/>
          <w:szCs w:val="32"/>
        </w:rPr>
        <w:t>。《方案》通过片区成片集中开发建设，保障了片区内产业的发展和集聚效益，满足了周边的就业岗位的提供，促进了服务品质。</w:t>
      </w:r>
    </w:p>
    <w:p w:rsidR="006F7111" w:rsidRDefault="00644590">
      <w:pPr>
        <w:pStyle w:val="Style7"/>
        <w:spacing w:after="0" w:line="580" w:lineRule="exact"/>
        <w:ind w:leftChars="0" w:left="0" w:firstLine="643"/>
        <w:rPr>
          <w:rFonts w:eastAsia="仿宋_GB2312"/>
          <w:sz w:val="32"/>
          <w:szCs w:val="32"/>
        </w:rPr>
      </w:pPr>
      <w:r>
        <w:rPr>
          <w:rFonts w:eastAsia="仿宋_GB2312" w:hint="eastAsia"/>
          <w:b/>
          <w:sz w:val="32"/>
          <w:szCs w:val="32"/>
        </w:rPr>
        <w:t>社会效益</w:t>
      </w:r>
      <w:r>
        <w:rPr>
          <w:rFonts w:eastAsia="仿宋_GB2312" w:hint="eastAsia"/>
          <w:sz w:val="32"/>
          <w:szCs w:val="32"/>
        </w:rPr>
        <w:t>。《方案》能够促进产业强区实力提升，着力加大产业扶持力度，同时有效保障开发片区设施配套建设需求，完善城区路网结构、公共设施体系等，指导后续此类土地的开发，有助于土地市场更好地盘活，丰富了用地来源。</w:t>
      </w:r>
    </w:p>
    <w:p w:rsidR="006F7111" w:rsidRDefault="00644590">
      <w:pPr>
        <w:pStyle w:val="Style7"/>
        <w:spacing w:after="0" w:line="580" w:lineRule="exact"/>
        <w:ind w:leftChars="0" w:left="0" w:firstLine="643"/>
        <w:rPr>
          <w:rFonts w:eastAsia="仿宋_GB2312"/>
          <w:sz w:val="32"/>
          <w:szCs w:val="32"/>
        </w:rPr>
      </w:pPr>
      <w:r>
        <w:rPr>
          <w:rFonts w:eastAsia="仿宋_GB2312" w:hint="eastAsia"/>
          <w:b/>
          <w:sz w:val="32"/>
          <w:szCs w:val="32"/>
        </w:rPr>
        <w:t>生态效益。</w:t>
      </w:r>
      <w:r>
        <w:rPr>
          <w:rFonts w:eastAsia="仿宋_GB2312" w:hint="eastAsia"/>
          <w:sz w:val="32"/>
          <w:szCs w:val="32"/>
        </w:rPr>
        <w:t>《方案》不涉及永久基本农田、不涉及生态保护红线；不处于地质灾害易发区，现状未见地质灾害出现；没有压覆重要矿产资源；不存在文物遗存；不存在土壤污染，开发建设后也不会产生新的土壤污染的行为，符合成片开发</w:t>
      </w:r>
      <w:r>
        <w:rPr>
          <w:rFonts w:eastAsia="仿宋_GB2312" w:hint="eastAsia"/>
          <w:sz w:val="32"/>
          <w:szCs w:val="32"/>
        </w:rPr>
        <w:lastRenderedPageBreak/>
        <w:t>和生态环境保护的基本要求。通过配套基础设施道路建设，可改变道路宽窄不一、晴天尘土飞扬、雨天滞水难排的现象；</w:t>
      </w:r>
      <w:r>
        <w:rPr>
          <w:rFonts w:eastAsia="仿宋_GB2312" w:hint="eastAsia"/>
          <w:sz w:val="32"/>
          <w:szCs w:val="32"/>
        </w:rPr>
        <w:t>通过生态绿地建设，可提高绿化覆盖率，保持水土，降低大气中的二氧化碳、有毒有害气体，吸滞烟尘，降低噪声，净化水体，净化土壤，杀灭病菌，降温保温，发挥卫生防护作用，也可美化城镇空间。</w:t>
      </w:r>
    </w:p>
    <w:p w:rsidR="006F7111" w:rsidRDefault="006F7111">
      <w:pPr>
        <w:pStyle w:val="Style7"/>
        <w:spacing w:after="0" w:line="580" w:lineRule="exact"/>
        <w:ind w:leftChars="0" w:left="0" w:firstLine="640"/>
        <w:jc w:val="right"/>
        <w:rPr>
          <w:rFonts w:eastAsia="仿宋_GB2312"/>
          <w:sz w:val="32"/>
          <w:szCs w:val="32"/>
        </w:rPr>
      </w:pPr>
    </w:p>
    <w:sectPr w:rsidR="006F7111" w:rsidSect="006F711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4590" w:rsidRDefault="00644590">
      <w:pPr>
        <w:ind w:firstLine="560"/>
      </w:pPr>
      <w:r>
        <w:separator/>
      </w:r>
    </w:p>
  </w:endnote>
  <w:endnote w:type="continuationSeparator" w:id="1">
    <w:p w:rsidR="00644590" w:rsidRDefault="00644590">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default"/>
    <w:sig w:usb0="A00002BF" w:usb1="38CF7CFA" w:usb2="00000016" w:usb3="00000000" w:csb0="0004000F" w:csb1="00000000"/>
  </w:font>
  <w:font w:name="方正小标宋_GBK">
    <w:altName w:val="Microsoft YaHei UI"/>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111" w:rsidRDefault="006F711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111" w:rsidRDefault="006F7111">
    <w:pPr>
      <w:pStyle w:val="a4"/>
      <w:ind w:firstLine="360"/>
    </w:pPr>
    <w:r>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2.55pt;height:10.35pt;z-index:251659264;mso-wrap-style:none;mso-position-horizontal:center;mso-position-horizontal-relative:margin" o:gfxdata="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7/ad9EAAAADAQAADwAAAAAAAAABACAAAAAi&#10;AAAAZHJzL2Rvd25yZXYueG1sUEsBAhQAFAAAAAgAh07iQM17VWURAgAACgQAAA4AAAAAAAAAAQAg&#10;AAAAIAEAAGRycy9lMm9Eb2MueG1sUEsFBgAAAAAGAAYAWQEAAKMFAAAAAA==&#10;" filled="f" stroked="f">
          <v:textbox style="mso-fit-shape-to-text:t" inset="0,0,0,0">
            <w:txbxContent>
              <w:p w:rsidR="006F7111" w:rsidRDefault="006F7111">
                <w:pPr>
                  <w:pStyle w:val="a4"/>
                  <w:ind w:firstLine="360"/>
                </w:pPr>
                <w:r>
                  <w:fldChar w:fldCharType="begin"/>
                </w:r>
                <w:r w:rsidR="00644590">
                  <w:instrText xml:space="preserve"> PAGE  \* MERGEFORMAT </w:instrText>
                </w:r>
                <w:r>
                  <w:fldChar w:fldCharType="separate"/>
                </w:r>
                <w:r w:rsidR="00963810">
                  <w:rPr>
                    <w:noProof/>
                  </w:rP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111" w:rsidRDefault="006F711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4590" w:rsidRDefault="00644590">
      <w:pPr>
        <w:ind w:firstLine="560"/>
      </w:pPr>
      <w:r>
        <w:separator/>
      </w:r>
    </w:p>
  </w:footnote>
  <w:footnote w:type="continuationSeparator" w:id="1">
    <w:p w:rsidR="00644590" w:rsidRDefault="00644590">
      <w:pPr>
        <w:ind w:firstLine="5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111" w:rsidRDefault="006F7111">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111" w:rsidRDefault="006F7111">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111" w:rsidRDefault="006F7111">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E0ZTUwMTI4NzBhMWJkZDIyZWE2MWM1ZmFkMTc5NTQifQ=="/>
  </w:docVars>
  <w:rsids>
    <w:rsidRoot w:val="005D56C1"/>
    <w:rsid w:val="000403D8"/>
    <w:rsid w:val="0004121C"/>
    <w:rsid w:val="00045FDA"/>
    <w:rsid w:val="000F7A52"/>
    <w:rsid w:val="001101BA"/>
    <w:rsid w:val="001215C5"/>
    <w:rsid w:val="003070CF"/>
    <w:rsid w:val="0034309E"/>
    <w:rsid w:val="003610F4"/>
    <w:rsid w:val="003A3BE6"/>
    <w:rsid w:val="003A3CD0"/>
    <w:rsid w:val="003C21AA"/>
    <w:rsid w:val="003F3C7C"/>
    <w:rsid w:val="0041359C"/>
    <w:rsid w:val="00414BD3"/>
    <w:rsid w:val="004A6688"/>
    <w:rsid w:val="004D7A82"/>
    <w:rsid w:val="005A7DBE"/>
    <w:rsid w:val="005D56C1"/>
    <w:rsid w:val="005E53D7"/>
    <w:rsid w:val="00644590"/>
    <w:rsid w:val="00686F10"/>
    <w:rsid w:val="006E32AB"/>
    <w:rsid w:val="006F7111"/>
    <w:rsid w:val="006F7F4F"/>
    <w:rsid w:val="00702341"/>
    <w:rsid w:val="00761DF8"/>
    <w:rsid w:val="007D4F23"/>
    <w:rsid w:val="00857CC5"/>
    <w:rsid w:val="00886AE8"/>
    <w:rsid w:val="008C5C48"/>
    <w:rsid w:val="008E4669"/>
    <w:rsid w:val="00963810"/>
    <w:rsid w:val="009B4BA8"/>
    <w:rsid w:val="009C0884"/>
    <w:rsid w:val="009D5F32"/>
    <w:rsid w:val="00A34D9E"/>
    <w:rsid w:val="00A76ED8"/>
    <w:rsid w:val="00AB3ED7"/>
    <w:rsid w:val="00AC358A"/>
    <w:rsid w:val="00AE7C7E"/>
    <w:rsid w:val="00B26EB0"/>
    <w:rsid w:val="00B62F7D"/>
    <w:rsid w:val="00BF3C0A"/>
    <w:rsid w:val="00C615CC"/>
    <w:rsid w:val="00CA240E"/>
    <w:rsid w:val="00CB75D4"/>
    <w:rsid w:val="00CF55D6"/>
    <w:rsid w:val="00D102DE"/>
    <w:rsid w:val="00D73256"/>
    <w:rsid w:val="00DC7E9E"/>
    <w:rsid w:val="00E1247A"/>
    <w:rsid w:val="00E46FB0"/>
    <w:rsid w:val="00E92236"/>
    <w:rsid w:val="00EC448C"/>
    <w:rsid w:val="00EF2660"/>
    <w:rsid w:val="00F4043A"/>
    <w:rsid w:val="00F837A8"/>
    <w:rsid w:val="00F94157"/>
    <w:rsid w:val="08FF00B5"/>
    <w:rsid w:val="13242E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uiPriority="0"/>
    <w:lsdException w:name="caption" w:uiPriority="35" w:qFormat="1"/>
    <w:lsdException w:name="Title" w:semiHidden="0" w:uiPriority="0" w:unhideWhenUsed="0" w:qFormat="1"/>
    <w:lsdException w:name="Default Paragraph Font" w:uiPriority="1"/>
    <w:lsdException w:name="Body Text Inden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F7111"/>
    <w:pPr>
      <w:widowControl w:val="0"/>
      <w:ind w:firstLineChars="200" w:firstLine="723"/>
      <w:jc w:val="both"/>
    </w:pPr>
    <w:rPr>
      <w:rFonts w:ascii="Times New Roman" w:eastAsia="仿宋" w:hAnsi="Times New Roman" w:cs="Times New Roman"/>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
    <w:uiPriority w:val="99"/>
    <w:semiHidden/>
    <w:unhideWhenUsed/>
    <w:rsid w:val="006F7111"/>
    <w:pPr>
      <w:ind w:firstLine="420"/>
    </w:pPr>
  </w:style>
  <w:style w:type="paragraph" w:styleId="a3">
    <w:name w:val="Body Text Indent"/>
    <w:basedOn w:val="a"/>
    <w:link w:val="Char"/>
    <w:uiPriority w:val="99"/>
    <w:semiHidden/>
    <w:unhideWhenUsed/>
    <w:qFormat/>
    <w:rsid w:val="006F7111"/>
    <w:pPr>
      <w:spacing w:after="120"/>
      <w:ind w:leftChars="200" w:left="420"/>
    </w:pPr>
  </w:style>
  <w:style w:type="paragraph" w:styleId="a4">
    <w:name w:val="footer"/>
    <w:basedOn w:val="a"/>
    <w:link w:val="Char0"/>
    <w:unhideWhenUsed/>
    <w:rsid w:val="006F7111"/>
    <w:pPr>
      <w:tabs>
        <w:tab w:val="center" w:pos="4153"/>
        <w:tab w:val="right" w:pos="8306"/>
      </w:tabs>
      <w:snapToGrid w:val="0"/>
      <w:ind w:firstLineChars="0" w:firstLine="0"/>
      <w:jc w:val="left"/>
    </w:pPr>
    <w:rPr>
      <w:rFonts w:asciiTheme="minorHAnsi" w:eastAsiaTheme="minorEastAsia" w:hAnsiTheme="minorHAnsi" w:cstheme="minorBidi"/>
      <w:color w:val="auto"/>
      <w:kern w:val="2"/>
      <w:sz w:val="18"/>
      <w:szCs w:val="18"/>
    </w:rPr>
  </w:style>
  <w:style w:type="paragraph" w:styleId="a5">
    <w:name w:val="header"/>
    <w:basedOn w:val="a"/>
    <w:link w:val="Char1"/>
    <w:unhideWhenUsed/>
    <w:rsid w:val="006F7111"/>
    <w:pPr>
      <w:tabs>
        <w:tab w:val="center" w:pos="4153"/>
        <w:tab w:val="right" w:pos="8306"/>
      </w:tabs>
      <w:snapToGrid w:val="0"/>
      <w:ind w:firstLineChars="0" w:firstLine="0"/>
      <w:jc w:val="center"/>
    </w:pPr>
    <w:rPr>
      <w:rFonts w:asciiTheme="minorHAnsi" w:eastAsiaTheme="minorEastAsia" w:hAnsiTheme="minorHAnsi" w:cstheme="minorBidi"/>
      <w:color w:val="auto"/>
      <w:kern w:val="2"/>
      <w:sz w:val="18"/>
      <w:szCs w:val="18"/>
    </w:rPr>
  </w:style>
  <w:style w:type="paragraph" w:styleId="a6">
    <w:name w:val="Title"/>
    <w:basedOn w:val="a"/>
    <w:next w:val="a"/>
    <w:link w:val="Char2"/>
    <w:qFormat/>
    <w:rsid w:val="006F7111"/>
    <w:pPr>
      <w:spacing w:before="240" w:after="60"/>
      <w:jc w:val="center"/>
      <w:outlineLvl w:val="0"/>
    </w:pPr>
    <w:rPr>
      <w:rFonts w:ascii="Cambria" w:eastAsia="宋体" w:hAnsi="Cambria"/>
      <w:b/>
      <w:bCs/>
      <w:sz w:val="32"/>
      <w:szCs w:val="32"/>
    </w:rPr>
  </w:style>
  <w:style w:type="character" w:customStyle="1" w:styleId="Char1">
    <w:name w:val="页眉 Char"/>
    <w:basedOn w:val="a0"/>
    <w:link w:val="a5"/>
    <w:uiPriority w:val="99"/>
    <w:rsid w:val="006F7111"/>
    <w:rPr>
      <w:sz w:val="18"/>
      <w:szCs w:val="18"/>
    </w:rPr>
  </w:style>
  <w:style w:type="character" w:customStyle="1" w:styleId="Char0">
    <w:name w:val="页脚 Char"/>
    <w:basedOn w:val="a0"/>
    <w:link w:val="a4"/>
    <w:uiPriority w:val="99"/>
    <w:rsid w:val="006F7111"/>
    <w:rPr>
      <w:sz w:val="18"/>
      <w:szCs w:val="18"/>
    </w:rPr>
  </w:style>
  <w:style w:type="paragraph" w:customStyle="1" w:styleId="Style7">
    <w:name w:val="_Style 7"/>
    <w:basedOn w:val="a3"/>
    <w:next w:val="2"/>
    <w:rsid w:val="006F7111"/>
    <w:pPr>
      <w:ind w:firstLine="420"/>
    </w:pPr>
    <w:rPr>
      <w:rFonts w:eastAsia="宋体"/>
    </w:rPr>
  </w:style>
  <w:style w:type="character" w:customStyle="1" w:styleId="a7">
    <w:name w:val="标题 字符"/>
    <w:basedOn w:val="a0"/>
    <w:uiPriority w:val="10"/>
    <w:qFormat/>
    <w:rsid w:val="006F7111"/>
    <w:rPr>
      <w:rFonts w:asciiTheme="majorHAnsi" w:eastAsiaTheme="majorEastAsia" w:hAnsiTheme="majorHAnsi" w:cstheme="majorBidi"/>
      <w:b/>
      <w:bCs/>
      <w:color w:val="000000"/>
      <w:kern w:val="0"/>
      <w:sz w:val="32"/>
      <w:szCs w:val="32"/>
    </w:rPr>
  </w:style>
  <w:style w:type="character" w:customStyle="1" w:styleId="Char2">
    <w:name w:val="标题 Char"/>
    <w:basedOn w:val="a0"/>
    <w:link w:val="a6"/>
    <w:rsid w:val="006F7111"/>
    <w:rPr>
      <w:rFonts w:ascii="Cambria" w:eastAsia="宋体" w:hAnsi="Cambria" w:cs="Times New Roman"/>
      <w:b/>
      <w:bCs/>
      <w:color w:val="000000"/>
      <w:kern w:val="0"/>
      <w:sz w:val="32"/>
      <w:szCs w:val="32"/>
    </w:rPr>
  </w:style>
  <w:style w:type="character" w:customStyle="1" w:styleId="Char">
    <w:name w:val="正文文本缩进 Char"/>
    <w:basedOn w:val="a0"/>
    <w:link w:val="a3"/>
    <w:uiPriority w:val="99"/>
    <w:semiHidden/>
    <w:qFormat/>
    <w:rsid w:val="006F7111"/>
    <w:rPr>
      <w:rFonts w:ascii="Times New Roman" w:eastAsia="仿宋" w:hAnsi="Times New Roman" w:cs="Times New Roman"/>
      <w:color w:val="000000"/>
      <w:kern w:val="0"/>
      <w:sz w:val="28"/>
      <w:szCs w:val="28"/>
    </w:rPr>
  </w:style>
  <w:style w:type="character" w:customStyle="1" w:styleId="2Char">
    <w:name w:val="正文首行缩进 2 Char"/>
    <w:basedOn w:val="Char"/>
    <w:link w:val="2"/>
    <w:uiPriority w:val="99"/>
    <w:semiHidden/>
    <w:rsid w:val="006F7111"/>
    <w:rPr>
      <w:rFonts w:ascii="Times New Roman" w:eastAsia="仿宋" w:hAnsi="Times New Roman" w:cs="Times New Roman"/>
      <w:color w:val="000000"/>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5</Pages>
  <Words>328</Words>
  <Characters>1871</Characters>
  <Application>Microsoft Office Word</Application>
  <DocSecurity>0</DocSecurity>
  <Lines>15</Lines>
  <Paragraphs>4</Paragraphs>
  <ScaleCrop>false</ScaleCrop>
  <Company>Microsoft</Company>
  <LinksUpToDate>false</LinksUpToDate>
  <CharactersWithSpaces>2195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PC</cp:lastModifiedBy>
  <cp:revision>43</cp:revision>
  <cp:lastPrinted>2023-12-08T09:08:00Z</cp:lastPrinted>
  <dcterms:created xsi:type="dcterms:W3CDTF">2023-11-07T06:28:00Z</dcterms:created>
  <dcterms:modified xsi:type="dcterms:W3CDTF">2023-12-08T09:08:00Z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49B78191922341A0B7AEFACC2C809C99_12</vt:lpwstr>
  </property>
</Properties>
</file>