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EBFF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关于印发《吴中区政务服务通办事项</w:t>
      </w:r>
    </w:p>
    <w:p w14:paraId="798CECB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清单(第二批)》的通知</w:t>
      </w:r>
    </w:p>
    <w:p w14:paraId="36A6E9B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  <w:t>区级各有关部门，各镇(区、街道):</w:t>
      </w:r>
    </w:p>
    <w:p w14:paraId="5FF2123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  <w:t>为全面落实政务服务“跨省通办”“省内通办”，推进高频政务服务事项“全区通办”，深入推进政务服务“一网通办”，根据国家、省、市文件精神，苏州市吴中区政府推进政府职能转变和“</w:t>
      </w:r>
      <w:bookmarkStart w:id="0" w:name="_GoBack"/>
      <w:bookmarkEnd w:id="0"/>
      <w:r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  <w:t>放管服”改革协调小组办公室会同区相关部门梳理形成《吴中区政务服务通办事项清单(第二批)》(附件)，现予以印发。</w:t>
      </w:r>
    </w:p>
    <w:p w14:paraId="2284929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  <w:t>各地各部门要按照“就近处理申请、审批权属不变、数据网上流转、批件快递送达”的原则，完善配套制度，全面落实通办工作要求，持续推动同一事项在不同区域无差别受理，满足企业群众异地办事需求。</w:t>
      </w:r>
    </w:p>
    <w:p w14:paraId="0860EAE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kern w:val="0"/>
          <w:sz w:val="32"/>
          <w:szCs w:val="21"/>
          <w:lang w:val="en-US" w:eastAsia="zh-CN" w:bidi="ar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21"/>
          <w:lang w:val="en-US" w:eastAsia="zh-CN" w:bidi="ar"/>
        </w:rPr>
        <w:t>附件:《吴中区政务服务通办事项清单(第二批)》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D3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2025-10-16T06:43:12Z</dcterms:created>
  <dc:creator>Administrator</dc:creator>
  <cp:lastModifiedBy>桃非草</cp:lastModifiedBy>
  <dcterms:modified xsi:type="dcterms:W3CDTF">2025-10-16T06:45:41Z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eyJoZGlkIjoiMThjZjk1NTFkYWZhMDZhMjdlNTU3YmVjM2EzNGFhMDUiLCJ1c2VySWQiOiI0OTM3NjI4OTkifQ==</vt:lpwstr>
  </property>
  <property fmtid="{D5CDD505-2E9C-101B-9397-08002B2CF9AE}" pid="4" name="ICV">
    <vt:lpwstr>C8F2E6F1C7B146FFB15EC75554D2D09F_12</vt:lpwstr>
  </property>
</Properties>
</file>